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_GBK" w:hAnsi="方正小标宋_GBK" w:eastAsia="方正小标宋_GBK" w:cs="方正小标宋_GBK"/>
          <w:color w:val="000000"/>
          <w:kern w:val="0"/>
          <w:sz w:val="43"/>
          <w:szCs w:val="43"/>
        </w:rPr>
      </w:pPr>
    </w:p>
    <w:p>
      <w:pPr>
        <w:widowControl/>
        <w:jc w:val="center"/>
        <w:rPr>
          <w:rFonts w:ascii="方正小标宋_GBK" w:hAnsi="方正小标宋_GBK" w:eastAsia="方正小标宋_GBK" w:cs="方正小标宋_GBK"/>
          <w:color w:val="000000"/>
          <w:kern w:val="0"/>
          <w:sz w:val="43"/>
          <w:szCs w:val="43"/>
        </w:rPr>
      </w:pPr>
    </w:p>
    <w:p>
      <w:pPr>
        <w:widowControl/>
        <w:jc w:val="center"/>
        <w:rPr>
          <w:rFonts w:hint="eastAsia" w:ascii="方正小标宋简体" w:hAnsi="方正小标宋简体" w:eastAsia="方正小标宋简体" w:cs="方正小标宋简体"/>
          <w:b w:val="0"/>
          <w:bCs/>
          <w:color w:val="000000"/>
          <w:kern w:val="0"/>
          <w:sz w:val="44"/>
          <w:szCs w:val="44"/>
        </w:rPr>
      </w:pPr>
      <w:r>
        <w:rPr>
          <w:rFonts w:hint="eastAsia" w:ascii="方正小标宋简体" w:hAnsi="方正小标宋简体" w:eastAsia="方正小标宋简体" w:cs="方正小标宋简体"/>
          <w:b w:val="0"/>
          <w:bCs/>
          <w:color w:val="000000"/>
          <w:kern w:val="0"/>
          <w:sz w:val="44"/>
          <w:szCs w:val="44"/>
          <w:lang w:eastAsia="zh-CN"/>
        </w:rPr>
        <w:t>小麦套种大豆</w:t>
      </w:r>
      <w:r>
        <w:rPr>
          <w:rFonts w:hint="eastAsia" w:ascii="方正小标宋简体" w:hAnsi="方正小标宋简体" w:eastAsia="方正小标宋简体" w:cs="方正小标宋简体"/>
          <w:b w:val="0"/>
          <w:bCs/>
          <w:color w:val="000000"/>
          <w:kern w:val="0"/>
          <w:sz w:val="44"/>
          <w:szCs w:val="44"/>
        </w:rPr>
        <w:t>病虫草害防控技术规程</w:t>
      </w:r>
    </w:p>
    <w:p>
      <w:pPr>
        <w:widowControl/>
        <w:jc w:val="center"/>
        <w:rPr>
          <w:rFonts w:hint="eastAsia" w:ascii="方正小标宋简体" w:hAnsi="方正小标宋简体" w:eastAsia="方正小标宋简体" w:cs="方正小标宋简体"/>
          <w:b w:val="0"/>
          <w:bCs/>
          <w:color w:val="000000"/>
          <w:kern w:val="0"/>
          <w:sz w:val="43"/>
          <w:szCs w:val="43"/>
        </w:rPr>
      </w:pPr>
    </w:p>
    <w:p>
      <w:pPr>
        <w:widowControl/>
        <w:jc w:val="center"/>
        <w:rPr>
          <w:rFonts w:hint="eastAsia" w:ascii="方正小标宋简体" w:hAnsi="方正小标宋简体" w:eastAsia="方正小标宋简体" w:cs="方正小标宋简体"/>
          <w:b w:val="0"/>
          <w:bCs/>
          <w:color w:val="000000"/>
          <w:kern w:val="0"/>
          <w:sz w:val="43"/>
          <w:szCs w:val="43"/>
        </w:rPr>
      </w:pPr>
      <w:r>
        <w:rPr>
          <w:rFonts w:hint="eastAsia" w:ascii="方正小标宋简体" w:hAnsi="方正小标宋简体" w:eastAsia="方正小标宋简体" w:cs="方正小标宋简体"/>
          <w:b w:val="0"/>
          <w:bCs/>
          <w:color w:val="000000"/>
          <w:kern w:val="0"/>
          <w:sz w:val="43"/>
          <w:szCs w:val="43"/>
        </w:rPr>
        <w:t>编制说明</w:t>
      </w:r>
    </w:p>
    <w:p>
      <w:pPr>
        <w:widowControl/>
        <w:jc w:val="center"/>
        <w:rPr>
          <w:rFonts w:hint="eastAsia" w:ascii="方正小标宋简体" w:hAnsi="方正小标宋简体" w:eastAsia="方正小标宋简体" w:cs="方正小标宋简体"/>
          <w:b w:val="0"/>
          <w:bCs/>
          <w:color w:val="000000"/>
          <w:kern w:val="0"/>
          <w:sz w:val="43"/>
          <w:szCs w:val="43"/>
        </w:rPr>
      </w:pPr>
    </w:p>
    <w:p>
      <w:pPr>
        <w:widowControl/>
        <w:jc w:val="center"/>
        <w:rPr>
          <w:rFonts w:hint="eastAsia" w:ascii="方正小标宋简体" w:hAnsi="方正小标宋简体" w:eastAsia="方正小标宋简体" w:cs="方正小标宋简体"/>
          <w:b w:val="0"/>
          <w:bCs/>
          <w:color w:val="000000"/>
          <w:kern w:val="0"/>
          <w:sz w:val="43"/>
          <w:szCs w:val="43"/>
        </w:rPr>
      </w:pPr>
    </w:p>
    <w:p>
      <w:pPr>
        <w:widowControl/>
        <w:jc w:val="center"/>
        <w:rPr>
          <w:rFonts w:hint="eastAsia" w:ascii="方正小标宋简体" w:hAnsi="方正小标宋简体" w:eastAsia="方正小标宋简体" w:cs="方正小标宋简体"/>
          <w:b w:val="0"/>
          <w:bCs/>
          <w:color w:val="000000"/>
          <w:kern w:val="0"/>
          <w:sz w:val="43"/>
          <w:szCs w:val="43"/>
        </w:rPr>
      </w:pPr>
    </w:p>
    <w:p>
      <w:pPr>
        <w:widowControl/>
        <w:jc w:val="center"/>
        <w:rPr>
          <w:rFonts w:hint="eastAsia" w:ascii="方正小标宋简体" w:hAnsi="方正小标宋简体" w:eastAsia="方正小标宋简体" w:cs="方正小标宋简体"/>
          <w:b w:val="0"/>
          <w:bCs/>
          <w:color w:val="000000"/>
          <w:kern w:val="0"/>
          <w:sz w:val="43"/>
          <w:szCs w:val="43"/>
        </w:rPr>
      </w:pPr>
    </w:p>
    <w:p>
      <w:pPr>
        <w:widowControl/>
        <w:jc w:val="center"/>
        <w:rPr>
          <w:rFonts w:hint="eastAsia" w:ascii="方正小标宋简体" w:hAnsi="方正小标宋简体" w:eastAsia="方正小标宋简体" w:cs="方正小标宋简体"/>
          <w:b w:val="0"/>
          <w:bCs/>
          <w:color w:val="000000"/>
          <w:kern w:val="0"/>
          <w:sz w:val="43"/>
          <w:szCs w:val="43"/>
        </w:rPr>
      </w:pPr>
    </w:p>
    <w:p>
      <w:pPr>
        <w:widowControl/>
        <w:rPr>
          <w:rFonts w:hint="eastAsia" w:ascii="方正小标宋简体" w:hAnsi="方正小标宋简体" w:eastAsia="方正小标宋简体" w:cs="方正小标宋简体"/>
          <w:b w:val="0"/>
          <w:bCs/>
          <w:color w:val="000000"/>
          <w:kern w:val="0"/>
          <w:sz w:val="43"/>
          <w:szCs w:val="43"/>
        </w:rPr>
      </w:pPr>
    </w:p>
    <w:p>
      <w:pPr>
        <w:widowControl/>
        <w:jc w:val="center"/>
        <w:rPr>
          <w:rFonts w:ascii="方正小标宋_GBK" w:hAnsi="方正小标宋_GBK" w:eastAsia="方正小标宋_GBK" w:cs="方正小标宋_GBK"/>
          <w:color w:val="000000"/>
          <w:kern w:val="0"/>
          <w:sz w:val="36"/>
          <w:szCs w:val="36"/>
        </w:rPr>
      </w:pPr>
      <w:r>
        <w:rPr>
          <w:rFonts w:hint="eastAsia" w:ascii="方正小标宋简体" w:hAnsi="方正小标宋简体" w:eastAsia="方正小标宋简体" w:cs="方正小标宋简体"/>
          <w:b w:val="0"/>
          <w:bCs/>
          <w:color w:val="000000"/>
          <w:kern w:val="0"/>
          <w:sz w:val="36"/>
          <w:szCs w:val="36"/>
        </w:rPr>
        <w:t>202</w:t>
      </w:r>
      <w:r>
        <w:rPr>
          <w:rFonts w:hint="eastAsia" w:ascii="方正小标宋简体" w:hAnsi="方正小标宋简体" w:eastAsia="方正小标宋简体" w:cs="方正小标宋简体"/>
          <w:b w:val="0"/>
          <w:bCs/>
          <w:color w:val="000000"/>
          <w:kern w:val="0"/>
          <w:sz w:val="36"/>
          <w:szCs w:val="36"/>
          <w:lang w:val="en-US" w:eastAsia="zh-CN"/>
        </w:rPr>
        <w:t>6</w:t>
      </w:r>
      <w:r>
        <w:rPr>
          <w:rFonts w:hint="eastAsia" w:ascii="方正小标宋简体" w:hAnsi="方正小标宋简体" w:eastAsia="方正小标宋简体" w:cs="方正小标宋简体"/>
          <w:b w:val="0"/>
          <w:bCs/>
          <w:color w:val="000000"/>
          <w:kern w:val="0"/>
          <w:sz w:val="36"/>
          <w:szCs w:val="36"/>
        </w:rPr>
        <w:t>年1月</w:t>
      </w:r>
    </w:p>
    <w:p>
      <w:pPr>
        <w:widowControl/>
        <w:spacing w:line="600" w:lineRule="exact"/>
        <w:rPr>
          <w:rFonts w:ascii="方正小标宋_GBK" w:hAnsi="方正小标宋_GBK" w:eastAsia="方正小标宋_GBK" w:cs="方正小标宋_GBK"/>
          <w:color w:val="000000"/>
          <w:kern w:val="0"/>
          <w:sz w:val="44"/>
          <w:szCs w:val="44"/>
        </w:rPr>
      </w:pPr>
    </w:p>
    <w:p>
      <w:pPr>
        <w:widowControl/>
        <w:spacing w:line="600" w:lineRule="exact"/>
        <w:rPr>
          <w:rFonts w:ascii="方正小标宋_GBK" w:hAnsi="方正小标宋_GBK" w:eastAsia="方正小标宋_GBK" w:cs="方正小标宋_GBK"/>
          <w:color w:val="000000"/>
          <w:kern w:val="0"/>
          <w:sz w:val="44"/>
          <w:szCs w:val="44"/>
        </w:rPr>
        <w:sectPr>
          <w:pgSz w:w="11906" w:h="16838"/>
          <w:pgMar w:top="1985" w:right="1588" w:bottom="1701" w:left="1588"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pPr>
        <w:pStyle w:val="6"/>
        <w:ind w:left="1470" w:right="1470"/>
      </w:pPr>
    </w:p>
    <w:p>
      <w:pPr>
        <w:widowControl/>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color w:val="000000"/>
          <w:kern w:val="0"/>
          <w:sz w:val="44"/>
          <w:szCs w:val="44"/>
        </w:rPr>
        <w:t>目  次</w:t>
      </w:r>
    </w:p>
    <w:p>
      <w:pPr>
        <w:widowControl/>
        <w:spacing w:line="600" w:lineRule="exact"/>
        <w:jc w:val="left"/>
        <w:rPr>
          <w:rFonts w:ascii="宋体" w:hAnsi="宋体" w:eastAsia="宋体" w:cs="宋体"/>
          <w:color w:val="000000"/>
          <w:kern w:val="0"/>
          <w:sz w:val="31"/>
          <w:szCs w:val="31"/>
        </w:rPr>
      </w:pPr>
    </w:p>
    <w:p>
      <w:pPr>
        <w:widowControl/>
        <w:numPr>
          <w:ilvl w:val="0"/>
          <w:numId w:val="1"/>
        </w:numPr>
        <w:spacing w:line="60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工作概况</w:t>
      </w:r>
    </w:p>
    <w:p>
      <w:pPr>
        <w:widowControl/>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二、制定标准的必要性和意义</w:t>
      </w:r>
    </w:p>
    <w:p>
      <w:pPr>
        <w:widowControl/>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三、主要起草过程</w:t>
      </w:r>
    </w:p>
    <w:p>
      <w:pPr>
        <w:widowControl/>
        <w:spacing w:line="600" w:lineRule="exact"/>
        <w:jc w:val="left"/>
        <w:rPr>
          <w:rFonts w:ascii="仿宋_GB2312" w:hAnsi="仿宋_GB2312" w:eastAsia="仿宋_GB2312" w:cs="仿宋_GB2312"/>
          <w:spacing w:val="-11"/>
          <w:sz w:val="32"/>
          <w:szCs w:val="32"/>
        </w:rPr>
      </w:pPr>
      <w:r>
        <w:rPr>
          <w:rFonts w:hint="eastAsia" w:ascii="仿宋_GB2312" w:hAnsi="仿宋_GB2312" w:eastAsia="仿宋_GB2312" w:cs="仿宋_GB2312"/>
          <w:color w:val="000000"/>
          <w:spacing w:val="-11"/>
          <w:kern w:val="0"/>
          <w:sz w:val="32"/>
          <w:szCs w:val="32"/>
        </w:rPr>
        <w:t>四、制定标准的原则和依据，与现行法律、法规、标准的关系</w:t>
      </w:r>
    </w:p>
    <w:p>
      <w:pPr>
        <w:widowControl/>
        <w:spacing w:line="600" w:lineRule="exact"/>
        <w:jc w:val="left"/>
        <w:rPr>
          <w:rFonts w:ascii="仿宋_GB2312" w:hAnsi="仿宋_GB2312" w:eastAsia="仿宋_GB2312" w:cs="仿宋_GB2312"/>
          <w:spacing w:val="-11"/>
          <w:sz w:val="32"/>
          <w:szCs w:val="32"/>
        </w:rPr>
      </w:pPr>
      <w:r>
        <w:rPr>
          <w:rFonts w:hint="eastAsia" w:ascii="仿宋_GB2312" w:hAnsi="仿宋_GB2312" w:eastAsia="仿宋_GB2312" w:cs="仿宋_GB2312"/>
          <w:color w:val="000000"/>
          <w:spacing w:val="-11"/>
          <w:kern w:val="0"/>
          <w:sz w:val="32"/>
          <w:szCs w:val="32"/>
        </w:rPr>
        <w:t>五、主要条款的说明，主要技术指标、参数、实验验证的论述</w:t>
      </w:r>
    </w:p>
    <w:p>
      <w:pPr>
        <w:widowControl/>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六、重大意见分歧的处理依据和结果 </w:t>
      </w:r>
    </w:p>
    <w:p>
      <w:pPr>
        <w:widowControl/>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七、实施标准的措施建议 </w:t>
      </w:r>
    </w:p>
    <w:p>
      <w:pPr>
        <w:widowControl/>
        <w:spacing w:line="600" w:lineRule="exact"/>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八、知识产权说明</w:t>
      </w:r>
    </w:p>
    <w:p>
      <w:pPr>
        <w:widowControl/>
        <w:spacing w:line="600" w:lineRule="exact"/>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九、其他应予说明的事项 </w:t>
      </w:r>
    </w:p>
    <w:p>
      <w:pPr>
        <w:widowControl/>
        <w:spacing w:line="600" w:lineRule="exact"/>
        <w:jc w:val="left"/>
        <w:rPr>
          <w:rFonts w:ascii="黑体" w:hAnsi="宋体" w:eastAsia="黑体" w:cs="黑体"/>
          <w:color w:val="000000"/>
          <w:kern w:val="0"/>
          <w:sz w:val="31"/>
          <w:szCs w:val="31"/>
        </w:rPr>
      </w:pPr>
    </w:p>
    <w:p>
      <w:pPr>
        <w:widowControl/>
        <w:spacing w:line="600" w:lineRule="exact"/>
        <w:jc w:val="left"/>
        <w:rPr>
          <w:rFonts w:ascii="黑体" w:hAnsi="宋体" w:eastAsia="黑体" w:cs="黑体"/>
          <w:color w:val="000000"/>
          <w:kern w:val="0"/>
          <w:sz w:val="31"/>
          <w:szCs w:val="31"/>
        </w:rPr>
      </w:pPr>
    </w:p>
    <w:p>
      <w:pPr>
        <w:widowControl/>
        <w:jc w:val="left"/>
        <w:rPr>
          <w:rFonts w:ascii="黑体" w:hAnsi="宋体" w:eastAsia="黑体" w:cs="黑体"/>
          <w:color w:val="000000"/>
          <w:kern w:val="0"/>
          <w:sz w:val="31"/>
          <w:szCs w:val="31"/>
        </w:rPr>
      </w:pPr>
    </w:p>
    <w:p>
      <w:pPr>
        <w:widowControl/>
        <w:jc w:val="left"/>
        <w:rPr>
          <w:rFonts w:ascii="黑体" w:hAnsi="宋体" w:eastAsia="黑体" w:cs="黑体"/>
          <w:color w:val="000000"/>
          <w:kern w:val="0"/>
          <w:sz w:val="31"/>
          <w:szCs w:val="31"/>
        </w:rPr>
      </w:pPr>
    </w:p>
    <w:p>
      <w:pPr>
        <w:widowControl/>
        <w:jc w:val="left"/>
        <w:rPr>
          <w:rFonts w:ascii="黑体" w:hAnsi="宋体" w:eastAsia="黑体" w:cs="黑体"/>
          <w:color w:val="000000"/>
          <w:kern w:val="0"/>
          <w:sz w:val="31"/>
          <w:szCs w:val="31"/>
        </w:rPr>
      </w:pPr>
    </w:p>
    <w:p>
      <w:pPr>
        <w:widowControl/>
        <w:jc w:val="left"/>
        <w:rPr>
          <w:rFonts w:ascii="黑体" w:hAnsi="宋体" w:eastAsia="黑体" w:cs="黑体"/>
          <w:color w:val="000000"/>
          <w:kern w:val="0"/>
          <w:sz w:val="31"/>
          <w:szCs w:val="31"/>
        </w:rPr>
      </w:pPr>
    </w:p>
    <w:p>
      <w:pPr>
        <w:widowControl/>
        <w:jc w:val="left"/>
        <w:rPr>
          <w:rFonts w:ascii="黑体" w:hAnsi="宋体" w:eastAsia="黑体" w:cs="黑体"/>
          <w:color w:val="000000"/>
          <w:kern w:val="0"/>
          <w:sz w:val="31"/>
          <w:szCs w:val="31"/>
        </w:rPr>
      </w:pPr>
    </w:p>
    <w:p>
      <w:pPr>
        <w:pStyle w:val="5"/>
        <w:rPr>
          <w:rFonts w:hint="default"/>
        </w:rPr>
      </w:pPr>
    </w:p>
    <w:p>
      <w:pPr>
        <w:pStyle w:val="9"/>
        <w:spacing w:line="560" w:lineRule="exact"/>
        <w:rPr>
          <w:rFonts w:ascii="方正小标宋_GBK" w:hAnsi="方正小标宋_GBK" w:eastAsia="方正小标宋_GBK" w:cs="方正小标宋_GBK"/>
          <w:b w:val="0"/>
          <w:bCs w:val="0"/>
          <w:sz w:val="44"/>
          <w:szCs w:val="44"/>
        </w:rPr>
      </w:pPr>
    </w:p>
    <w:p>
      <w:pPr>
        <w:pStyle w:val="9"/>
        <w:spacing w:line="560" w:lineRule="exact"/>
        <w:rPr>
          <w:rFonts w:ascii="方正小标宋_GBK" w:hAnsi="方正小标宋_GBK" w:eastAsia="方正小标宋_GBK" w:cs="方正小标宋_GBK"/>
          <w:b w:val="0"/>
          <w:bCs w:val="0"/>
          <w:sz w:val="44"/>
          <w:szCs w:val="44"/>
        </w:rPr>
      </w:pPr>
    </w:p>
    <w:p>
      <w:pPr>
        <w:pStyle w:val="9"/>
        <w:spacing w:line="560" w:lineRule="exact"/>
        <w:rPr>
          <w:rFonts w:ascii="方正小标宋_GBK" w:hAnsi="方正小标宋_GBK" w:eastAsia="方正小标宋_GBK" w:cs="方正小标宋_GBK"/>
          <w:b w:val="0"/>
          <w:bCs w:val="0"/>
          <w:sz w:val="44"/>
          <w:szCs w:val="44"/>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start="1"/>
          <w:cols w:space="425" w:num="1"/>
          <w:docGrid w:type="lines" w:linePitch="312" w:charSpace="0"/>
        </w:sectPr>
      </w:pPr>
    </w:p>
    <w:p>
      <w:pPr>
        <w:pStyle w:val="9"/>
        <w:keepNext w:val="0"/>
        <w:keepLines w:val="0"/>
        <w:pageBreakBefore w:val="0"/>
        <w:kinsoku/>
        <w:wordWrap/>
        <w:overflowPunct/>
        <w:topLinePunct w:val="0"/>
        <w:bidi w:val="0"/>
        <w:adjustRightInd/>
        <w:snapToGrid/>
        <w:spacing w:line="600" w:lineRule="exact"/>
        <w:textAlignment w:val="auto"/>
        <w:rPr>
          <w:rFonts w:hint="eastAsia" w:cs="方正小标宋_GBK" w:asciiTheme="minorEastAsia" w:hAnsiTheme="minorEastAsia" w:eastAsiaTheme="minorEastAsia"/>
          <w:bCs w:val="0"/>
          <w:sz w:val="44"/>
          <w:szCs w:val="44"/>
        </w:rPr>
      </w:pPr>
      <w:r>
        <w:rPr>
          <w:rFonts w:hint="eastAsia" w:cs="方正小标宋_GBK" w:asciiTheme="minorEastAsia" w:hAnsiTheme="minorEastAsia" w:eastAsiaTheme="minorEastAsia"/>
          <w:bCs w:val="0"/>
          <w:sz w:val="44"/>
          <w:szCs w:val="44"/>
        </w:rPr>
        <w:t>《</w:t>
      </w:r>
      <w:r>
        <w:rPr>
          <w:rFonts w:hint="eastAsia" w:cs="方正小标宋_GBK" w:asciiTheme="minorEastAsia" w:hAnsiTheme="minorEastAsia" w:eastAsiaTheme="minorEastAsia"/>
          <w:bCs w:val="0"/>
          <w:sz w:val="44"/>
          <w:szCs w:val="44"/>
          <w:lang w:eastAsia="zh-CN"/>
        </w:rPr>
        <w:t>小麦套种大豆</w:t>
      </w:r>
      <w:r>
        <w:rPr>
          <w:rFonts w:hint="eastAsia" w:cs="方正小标宋_GBK" w:asciiTheme="minorEastAsia" w:hAnsiTheme="minorEastAsia" w:eastAsiaTheme="minorEastAsia"/>
          <w:bCs w:val="0"/>
          <w:sz w:val="44"/>
          <w:szCs w:val="44"/>
        </w:rPr>
        <w:t>病虫草害防控技术规程》</w:t>
      </w:r>
    </w:p>
    <w:p>
      <w:pPr>
        <w:pStyle w:val="9"/>
        <w:keepNext w:val="0"/>
        <w:keepLines w:val="0"/>
        <w:pageBreakBefore w:val="0"/>
        <w:kinsoku/>
        <w:wordWrap/>
        <w:overflowPunct/>
        <w:topLinePunct w:val="0"/>
        <w:bidi w:val="0"/>
        <w:adjustRightInd/>
        <w:snapToGrid/>
        <w:spacing w:line="600" w:lineRule="exact"/>
        <w:textAlignment w:val="auto"/>
        <w:rPr>
          <w:rFonts w:cs="方正小标宋_GBK" w:asciiTheme="minorEastAsia" w:hAnsiTheme="minorEastAsia" w:eastAsiaTheme="minorEastAsia"/>
          <w:sz w:val="44"/>
          <w:szCs w:val="44"/>
        </w:rPr>
      </w:pPr>
      <w:r>
        <w:rPr>
          <w:rFonts w:hint="eastAsia" w:cs="方正小标宋_GBK" w:asciiTheme="minorEastAsia" w:hAnsiTheme="minorEastAsia" w:eastAsiaTheme="minorEastAsia"/>
          <w:bCs w:val="0"/>
          <w:sz w:val="44"/>
          <w:szCs w:val="44"/>
        </w:rPr>
        <w:t>地方标准编制说明</w:t>
      </w:r>
    </w:p>
    <w:p>
      <w:pPr>
        <w:keepNext w:val="0"/>
        <w:keepLines w:val="0"/>
        <w:pageBreakBefore w:val="0"/>
        <w:kinsoku/>
        <w:wordWrap/>
        <w:overflowPunct/>
        <w:topLinePunct w:val="0"/>
        <w:bidi w:val="0"/>
        <w:adjustRightInd/>
        <w:snapToGrid/>
        <w:spacing w:line="600" w:lineRule="exact"/>
        <w:ind w:firstLine="640" w:firstLineChars="200"/>
        <w:textAlignment w:val="auto"/>
        <w:rPr>
          <w:rFonts w:ascii="黑体" w:hAnsi="黑体" w:eastAsia="黑体" w:cs="黑体"/>
          <w:sz w:val="32"/>
          <w:szCs w:val="32"/>
        </w:rPr>
      </w:pPr>
    </w:p>
    <w:p>
      <w:pPr>
        <w:keepNext w:val="0"/>
        <w:keepLines w:val="0"/>
        <w:pageBreakBefore w:val="0"/>
        <w:kinsoku/>
        <w:wordWrap/>
        <w:overflowPunct/>
        <w:topLinePunct w:val="0"/>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一、工作简况</w:t>
      </w:r>
    </w:p>
    <w:p>
      <w:pPr>
        <w:keepNext w:val="0"/>
        <w:keepLines w:val="0"/>
        <w:pageBreakBefore w:val="0"/>
        <w:kinsoku/>
        <w:wordWrap/>
        <w:overflowPunct/>
        <w:topLinePunct w:val="0"/>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（一）任务来源</w:t>
      </w:r>
    </w:p>
    <w:p>
      <w:pPr>
        <w:keepNext w:val="0"/>
        <w:keepLines w:val="0"/>
        <w:pageBreakBefore w:val="0"/>
        <w:kinsoku/>
        <w:wordWrap/>
        <w:overflowPunct/>
        <w:topLinePunct w:val="0"/>
        <w:bidi w:val="0"/>
        <w:adjustRightInd/>
        <w:snapToGrid/>
        <w:spacing w:line="600" w:lineRule="exact"/>
        <w:ind w:firstLine="640" w:firstLineChars="200"/>
        <w:textAlignment w:val="auto"/>
        <w:rPr>
          <w:rFonts w:ascii="仿宋_GB2312" w:hAnsi="仿宋_GB2312" w:eastAsia="仿宋_GB2312" w:cs="仿宋_GB2312"/>
          <w:sz w:val="32"/>
          <w:szCs w:val="32"/>
        </w:rPr>
      </w:pPr>
      <w:bookmarkStart w:id="0" w:name="OLE_LINK36"/>
      <w:bookmarkStart w:id="1" w:name="OLE_LINK35"/>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月6日，由宁夏回族自治区农业技术推广总站申请地方标准的立项，按照《自治区市场监管厅关于下达202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年宁夏地</w:t>
      </w:r>
      <w:r>
        <w:rPr>
          <w:rFonts w:hint="eastAsia" w:eastAsia="仿宋_GB2312" w:cs="仿宋_GB2312"/>
          <w:sz w:val="32"/>
          <w:szCs w:val="32"/>
        </w:rPr>
        <w:t>方标准制（修）订计划的通知》，</w:t>
      </w:r>
      <w:bookmarkEnd w:id="0"/>
      <w:bookmarkEnd w:id="1"/>
      <w:r>
        <w:rPr>
          <w:rFonts w:hint="eastAsia" w:eastAsia="仿宋_GB2312" w:cs="仿宋_GB2312"/>
          <w:sz w:val="32"/>
          <w:szCs w:val="32"/>
          <w:lang w:eastAsia="zh-CN"/>
        </w:rPr>
        <w:t>已将</w:t>
      </w:r>
      <w:r>
        <w:rPr>
          <w:rFonts w:hint="eastAsia" w:eastAsia="仿宋_GB2312" w:cs="仿宋_GB2312"/>
          <w:sz w:val="32"/>
          <w:szCs w:val="32"/>
        </w:rPr>
        <w:t>《小麦套种大豆病虫草害防控技术规程》地方标准</w:t>
      </w:r>
      <w:r>
        <w:rPr>
          <w:rFonts w:hint="eastAsia" w:ascii="Times New Roman" w:hAnsi="Times New Roman" w:eastAsia="仿宋_GB2312" w:cs="Times New Roman"/>
          <w:sz w:val="32"/>
          <w:szCs w:val="32"/>
        </w:rPr>
        <w:t>列为2025年地</w:t>
      </w:r>
      <w:r>
        <w:rPr>
          <w:rFonts w:hint="eastAsia" w:eastAsia="仿宋_GB2312" w:cs="仿宋_GB2312"/>
          <w:sz w:val="32"/>
          <w:szCs w:val="32"/>
        </w:rPr>
        <w:t>方标准制（修）订计划，</w:t>
      </w:r>
      <w:r>
        <w:rPr>
          <w:rFonts w:ascii="Times New Roman" w:hAnsi="Times New Roman" w:eastAsia="仿宋_GB2312" w:cs="Times New Roman"/>
          <w:sz w:val="32"/>
          <w:szCs w:val="32"/>
        </w:rPr>
        <w:t>本标准的编制基础为</w:t>
      </w:r>
      <w:r>
        <w:rPr>
          <w:rFonts w:hint="eastAsia" w:ascii="Times New Roman" w:hAnsi="Times New Roman" w:eastAsia="仿宋_GB2312" w:cs="Times New Roman"/>
          <w:sz w:val="32"/>
          <w:szCs w:val="32"/>
          <w:lang w:eastAsia="zh-CN"/>
        </w:rPr>
        <w:t>各</w:t>
      </w:r>
      <w:r>
        <w:rPr>
          <w:rFonts w:ascii="Times New Roman" w:hAnsi="Times New Roman" w:eastAsia="仿宋_GB2312" w:cs="Times New Roman"/>
          <w:sz w:val="32"/>
          <w:szCs w:val="32"/>
        </w:rPr>
        <w:t>年度</w:t>
      </w:r>
      <w:r>
        <w:rPr>
          <w:rFonts w:hint="eastAsia" w:ascii="仿宋_GB2312" w:hAnsi="仿宋_GB2312" w:eastAsia="仿宋_GB2312" w:cs="仿宋_GB2312"/>
          <w:sz w:val="32"/>
          <w:szCs w:val="32"/>
        </w:rPr>
        <w:t>自治区</w:t>
      </w:r>
      <w:r>
        <w:rPr>
          <w:rFonts w:hint="eastAsia" w:ascii="仿宋_GB2312" w:hAnsi="仿宋_GB2312" w:eastAsia="仿宋_GB2312" w:cs="仿宋_GB2312"/>
          <w:sz w:val="32"/>
          <w:szCs w:val="32"/>
          <w:lang w:eastAsia="zh-CN"/>
        </w:rPr>
        <w:t>粮食高质高效（农作物病虫害防控）项目</w:t>
      </w:r>
      <w:r>
        <w:rPr>
          <w:rFonts w:hint="eastAsia" w:ascii="仿宋_GB2312" w:hAnsi="仿宋_GB2312" w:eastAsia="仿宋_GB2312" w:cs="仿宋_GB2312"/>
          <w:sz w:val="32"/>
          <w:szCs w:val="32"/>
        </w:rPr>
        <w:t>开展的相关试验研究。</w:t>
      </w:r>
    </w:p>
    <w:p>
      <w:pPr>
        <w:keepNext w:val="0"/>
        <w:keepLines w:val="0"/>
        <w:pageBreakBefore w:val="0"/>
        <w:kinsoku/>
        <w:wordWrap/>
        <w:overflowPunct/>
        <w:topLinePunct w:val="0"/>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（二）起草单位</w:t>
      </w:r>
    </w:p>
    <w:p>
      <w:pPr>
        <w:keepNext w:val="0"/>
        <w:keepLines w:val="0"/>
        <w:pageBreakBefore w:val="0"/>
        <w:kinsoku/>
        <w:wordWrap/>
        <w:overflowPunct/>
        <w:topLinePunct w:val="0"/>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本标准项目主要承担单位：宁夏回族自治区农业技术推广总站</w:t>
      </w:r>
    </w:p>
    <w:p>
      <w:pPr>
        <w:pStyle w:val="23"/>
        <w:keepNext w:val="0"/>
        <w:keepLines w:val="0"/>
        <w:pageBreakBefore w:val="0"/>
        <w:kinsoku/>
        <w:wordWrap/>
        <w:overflowPunct/>
        <w:topLinePunct w:val="0"/>
        <w:bidi w:val="0"/>
        <w:adjustRightInd/>
        <w:snapToGrid/>
        <w:spacing w:line="600" w:lineRule="exact"/>
        <w:ind w:firstLine="512" w:firstLineChars="160"/>
        <w:textAlignment w:val="auto"/>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协作</w:t>
      </w:r>
      <w:r>
        <w:rPr>
          <w:rFonts w:ascii="仿宋_GB2312" w:hAnsi="仿宋_GB2312" w:eastAsia="仿宋_GB2312" w:cs="仿宋_GB2312"/>
          <w:kern w:val="2"/>
          <w:sz w:val="32"/>
          <w:szCs w:val="32"/>
        </w:rPr>
        <w:t>单位</w:t>
      </w:r>
      <w:r>
        <w:rPr>
          <w:rFonts w:hint="eastAsia" w:ascii="仿宋_GB2312" w:hAnsi="仿宋_GB2312" w:eastAsia="仿宋_GB2312" w:cs="仿宋_GB2312"/>
          <w:kern w:val="2"/>
          <w:sz w:val="32"/>
          <w:szCs w:val="32"/>
        </w:rPr>
        <w:t>为</w:t>
      </w:r>
      <w:r>
        <w:rPr>
          <w:rFonts w:ascii="仿宋_GB2312" w:hAnsi="仿宋_GB2312" w:eastAsia="仿宋_GB2312" w:cs="仿宋_GB2312"/>
          <w:kern w:val="2"/>
          <w:sz w:val="32"/>
          <w:szCs w:val="32"/>
        </w:rPr>
        <w:t>：</w:t>
      </w:r>
      <w:r>
        <w:rPr>
          <w:rFonts w:hint="eastAsia" w:ascii="仿宋_GB2312" w:hAnsi="仿宋_GB2312" w:eastAsia="仿宋_GB2312" w:cs="仿宋_GB2312"/>
          <w:kern w:val="2"/>
          <w:sz w:val="32"/>
          <w:szCs w:val="32"/>
        </w:rPr>
        <w:t>宁夏回族自治区农产品质量安全中心、贺兰县农业技术推广服务中心、永宁县农业技术推广服务中心、贺兰县金贵镇农业综合服务中心。</w:t>
      </w:r>
    </w:p>
    <w:p>
      <w:pPr>
        <w:keepNext w:val="0"/>
        <w:keepLines w:val="0"/>
        <w:pageBreakBefore w:val="0"/>
        <w:kinsoku/>
        <w:wordWrap/>
        <w:overflowPunct/>
        <w:topLinePunct w:val="0"/>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（三）主要起草人及分工</w:t>
      </w:r>
    </w:p>
    <w:p>
      <w:pPr>
        <w:keepNext w:val="0"/>
        <w:keepLines w:val="0"/>
        <w:pageBreakBefore w:val="0"/>
        <w:kinsoku/>
        <w:wordWrap/>
        <w:overflowPunct/>
        <w:topLinePunct w:val="0"/>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宁夏回族自治区农业技术推广总站等多家单位成立了成员</w:t>
      </w:r>
      <w:r>
        <w:rPr>
          <w:rFonts w:ascii="Times New Roman" w:hAnsi="Times New Roman" w:eastAsia="仿宋_GB2312" w:cs="Times New Roman"/>
          <w:sz w:val="32"/>
          <w:szCs w:val="32"/>
        </w:rPr>
        <w:t>为1</w:t>
      </w:r>
      <w:r>
        <w:rPr>
          <w:rFonts w:hint="eastAsia" w:ascii="Times New Roman" w:hAnsi="Times New Roman" w:eastAsia="仿宋_GB2312" w:cs="Times New Roman"/>
          <w:sz w:val="32"/>
          <w:szCs w:val="32"/>
          <w:lang w:val="en-US" w:eastAsia="zh-CN"/>
        </w:rPr>
        <w:t>6</w:t>
      </w:r>
      <w:bookmarkStart w:id="8" w:name="_GoBack"/>
      <w:bookmarkEnd w:id="8"/>
      <w:r>
        <w:rPr>
          <w:rFonts w:ascii="Times New Roman" w:hAnsi="Times New Roman" w:eastAsia="仿宋_GB2312" w:cs="Times New Roman"/>
          <w:sz w:val="32"/>
          <w:szCs w:val="32"/>
        </w:rPr>
        <w:t>人的</w:t>
      </w:r>
      <w:r>
        <w:rPr>
          <w:rFonts w:hint="eastAsia" w:ascii="仿宋_GB2312" w:hAnsi="仿宋_GB2312" w:eastAsia="仿宋_GB2312" w:cs="仿宋_GB2312"/>
          <w:sz w:val="32"/>
          <w:szCs w:val="32"/>
        </w:rPr>
        <w:t>标准起草小组，明确任务分工，制定编写要求，统一思想，规划工作思路，为标准制定建立了组织保障。标准制定成员和工作分工见</w:t>
      </w:r>
      <w:r>
        <w:rPr>
          <w:rFonts w:ascii="Times New Roman" w:hAnsi="Times New Roman" w:eastAsia="仿宋_GB2312" w:cs="Times New Roman"/>
          <w:sz w:val="32"/>
          <w:szCs w:val="32"/>
        </w:rPr>
        <w:t>表1</w:t>
      </w:r>
      <w:r>
        <w:rPr>
          <w:rFonts w:hint="eastAsia" w:ascii="仿宋_GB2312" w:hAnsi="仿宋_GB2312" w:eastAsia="仿宋_GB2312" w:cs="仿宋_GB2312"/>
          <w:sz w:val="32"/>
          <w:szCs w:val="32"/>
        </w:rPr>
        <w:t>。</w:t>
      </w:r>
    </w:p>
    <w:p>
      <w:pPr>
        <w:spacing w:before="62"/>
        <w:ind w:right="1473"/>
        <w:jc w:val="center"/>
      </w:pPr>
      <w:r>
        <w:rPr>
          <w:rFonts w:hint="eastAsia" w:ascii="Times New Roman" w:hAnsi="Times New Roman" w:eastAsia="黑体" w:cs="黑体"/>
          <w:bCs/>
          <w:spacing w:val="-35"/>
          <w:sz w:val="28"/>
        </w:rPr>
        <w:t xml:space="preserve">表 </w:t>
      </w:r>
      <w:r>
        <w:rPr>
          <w:rFonts w:hint="eastAsia" w:ascii="Times New Roman" w:hAnsi="Times New Roman" w:eastAsia="黑体" w:cs="黑体"/>
          <w:bCs/>
          <w:sz w:val="28"/>
        </w:rPr>
        <w:t>1</w:t>
      </w:r>
      <w:r>
        <w:rPr>
          <w:rFonts w:hint="eastAsia" w:ascii="Times New Roman" w:hAnsi="Times New Roman" w:eastAsia="黑体" w:cs="黑体"/>
          <w:bCs/>
          <w:i/>
          <w:spacing w:val="67"/>
          <w:sz w:val="28"/>
        </w:rPr>
        <w:t xml:space="preserve"> </w:t>
      </w:r>
      <w:r>
        <w:rPr>
          <w:rFonts w:hint="eastAsia" w:ascii="Times New Roman" w:hAnsi="Times New Roman" w:eastAsia="黑体" w:cs="黑体"/>
          <w:bCs/>
          <w:spacing w:val="-3"/>
          <w:sz w:val="28"/>
        </w:rPr>
        <w:t>地方标准主要起草人及分工</w:t>
      </w:r>
    </w:p>
    <w:tbl>
      <w:tblPr>
        <w:tblStyle w:val="10"/>
        <w:tblW w:w="48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164"/>
        <w:gridCol w:w="712"/>
        <w:gridCol w:w="1385"/>
        <w:gridCol w:w="3609"/>
        <w:gridCol w:w="11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序号</w:t>
            </w:r>
          </w:p>
        </w:tc>
        <w:tc>
          <w:tcPr>
            <w:tcW w:w="666"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姓 名</w:t>
            </w:r>
          </w:p>
        </w:tc>
        <w:tc>
          <w:tcPr>
            <w:tcW w:w="40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性别</w:t>
            </w:r>
          </w:p>
        </w:tc>
        <w:tc>
          <w:tcPr>
            <w:tcW w:w="79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职称/职务</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单  位</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责任分工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1</w:t>
            </w:r>
          </w:p>
        </w:tc>
        <w:tc>
          <w:tcPr>
            <w:tcW w:w="666"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刘</w:t>
            </w:r>
            <w:r>
              <w:rPr>
                <w:rFonts w:hint="eastAsia" w:ascii="仿宋_GB2312" w:hAnsi="宋体" w:eastAsia="仿宋_GB2312"/>
                <w:color w:val="000000" w:themeColor="text1"/>
                <w:szCs w:val="21"/>
                <w:lang w:val="en-US" w:eastAsia="zh-CN"/>
                <w14:textFill>
                  <w14:solidFill>
                    <w14:schemeClr w14:val="tx1"/>
                  </w14:solidFill>
                </w14:textFill>
              </w:rPr>
              <w:t xml:space="preserve"> </w:t>
            </w:r>
            <w:r>
              <w:rPr>
                <w:rFonts w:hint="eastAsia" w:ascii="仿宋_GB2312" w:hAnsi="宋体" w:eastAsia="仿宋_GB2312"/>
                <w:color w:val="000000" w:themeColor="text1"/>
                <w:szCs w:val="21"/>
                <w14:textFill>
                  <w14:solidFill>
                    <w14:schemeClr w14:val="tx1"/>
                  </w14:solidFill>
                </w14:textFill>
              </w:rPr>
              <w:t>媛</w:t>
            </w:r>
          </w:p>
        </w:tc>
        <w:tc>
          <w:tcPr>
            <w:tcW w:w="407"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女</w:t>
            </w:r>
          </w:p>
        </w:tc>
        <w:tc>
          <w:tcPr>
            <w:tcW w:w="792"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推广研究员</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标准主稿、统筹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2</w:t>
            </w:r>
          </w:p>
        </w:tc>
        <w:tc>
          <w:tcPr>
            <w:tcW w:w="666"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李健荣</w:t>
            </w:r>
          </w:p>
        </w:tc>
        <w:tc>
          <w:tcPr>
            <w:tcW w:w="407"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草害防控研究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3</w:t>
            </w:r>
          </w:p>
        </w:tc>
        <w:tc>
          <w:tcPr>
            <w:tcW w:w="666"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王</w:t>
            </w:r>
            <w:r>
              <w:rPr>
                <w:rFonts w:hint="eastAsia" w:ascii="仿宋_GB2312" w:hAnsi="宋体" w:eastAsia="仿宋_GB2312"/>
                <w:color w:val="000000" w:themeColor="text1"/>
                <w:szCs w:val="21"/>
                <w:lang w:val="en-US" w:eastAsia="zh-CN"/>
                <w14:textFill>
                  <w14:solidFill>
                    <w14:schemeClr w14:val="tx1"/>
                  </w14:solidFill>
                </w14:textFill>
              </w:rPr>
              <w:t xml:space="preserve"> </w:t>
            </w:r>
            <w:r>
              <w:rPr>
                <w:rFonts w:hint="eastAsia" w:ascii="仿宋_GB2312" w:hAnsi="宋体" w:eastAsia="仿宋_GB2312"/>
                <w:color w:val="000000" w:themeColor="text1"/>
                <w:szCs w:val="21"/>
                <w14:textFill>
                  <w14:solidFill>
                    <w14:schemeClr w14:val="tx1"/>
                  </w14:solidFill>
                </w14:textFill>
              </w:rPr>
              <w:t>华</w:t>
            </w:r>
          </w:p>
        </w:tc>
        <w:tc>
          <w:tcPr>
            <w:tcW w:w="407"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高级农艺师</w:t>
            </w:r>
          </w:p>
        </w:tc>
        <w:tc>
          <w:tcPr>
            <w:tcW w:w="2064"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病害防控研究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4</w:t>
            </w:r>
          </w:p>
        </w:tc>
        <w:tc>
          <w:tcPr>
            <w:tcW w:w="666"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梁晓宇</w:t>
            </w:r>
          </w:p>
        </w:tc>
        <w:tc>
          <w:tcPr>
            <w:tcW w:w="407"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草害防控研究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hint="eastAsia" w:ascii="仿宋_GB2312" w:hAnsi="宋体" w:eastAsia="仿宋_GB2312"/>
                <w:szCs w:val="21"/>
              </w:rPr>
            </w:pPr>
            <w:r>
              <w:rPr>
                <w:rFonts w:hint="eastAsia" w:ascii="仿宋_GB2312" w:hAnsi="宋体" w:eastAsia="仿宋_GB2312"/>
                <w:szCs w:val="21"/>
              </w:rPr>
              <w:t>5</w:t>
            </w:r>
          </w:p>
        </w:tc>
        <w:tc>
          <w:tcPr>
            <w:tcW w:w="666"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马</w:t>
            </w:r>
            <w:r>
              <w:rPr>
                <w:rFonts w:hint="eastAsia" w:ascii="仿宋_GB2312" w:hAnsi="宋体" w:eastAsia="仿宋_GB2312"/>
                <w:color w:val="000000" w:themeColor="text1"/>
                <w:szCs w:val="21"/>
                <w:lang w:val="en-US" w:eastAsia="zh-CN"/>
                <w14:textFill>
                  <w14:solidFill>
                    <w14:schemeClr w14:val="tx1"/>
                  </w14:solidFill>
                </w14:textFill>
              </w:rPr>
              <w:t xml:space="preserve"> </w:t>
            </w:r>
            <w:r>
              <w:rPr>
                <w:rFonts w:hint="eastAsia" w:ascii="仿宋_GB2312" w:hAnsi="宋体" w:eastAsia="仿宋_GB2312"/>
                <w:color w:val="000000" w:themeColor="text1"/>
                <w:szCs w:val="21"/>
                <w14:textFill>
                  <w14:solidFill>
                    <w14:schemeClr w14:val="tx1"/>
                  </w14:solidFill>
                </w14:textFill>
              </w:rPr>
              <w:t>景</w:t>
            </w:r>
          </w:p>
        </w:tc>
        <w:tc>
          <w:tcPr>
            <w:tcW w:w="407"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女</w:t>
            </w:r>
          </w:p>
        </w:tc>
        <w:tc>
          <w:tcPr>
            <w:tcW w:w="792"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hint="eastAsia" w:ascii="仿宋_GB2312" w:hAnsi="宋体" w:eastAsia="仿宋_GB2312" w:cstheme="minorBidi"/>
                <w:kern w:val="2"/>
                <w:sz w:val="21"/>
                <w:szCs w:val="21"/>
                <w:lang w:val="en-US" w:eastAsia="zh-CN" w:bidi="ar-SA"/>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hint="eastAsia" w:ascii="仿宋_GB2312" w:hAnsi="宋体" w:eastAsia="仿宋_GB2312" w:cstheme="minorBidi"/>
                <w:kern w:val="2"/>
                <w:sz w:val="21"/>
                <w:szCs w:val="21"/>
                <w:lang w:val="en-US" w:eastAsia="zh-CN" w:bidi="ar-SA"/>
              </w:rPr>
            </w:pPr>
            <w:r>
              <w:rPr>
                <w:rFonts w:hint="eastAsia" w:ascii="仿宋_GB2312" w:hAnsi="宋体" w:eastAsia="仿宋_GB2312"/>
                <w:szCs w:val="21"/>
              </w:rPr>
              <w:t>虫害防控研究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hint="eastAsia" w:ascii="仿宋_GB2312" w:hAnsi="宋体" w:eastAsia="仿宋_GB2312"/>
                <w:szCs w:val="21"/>
              </w:rPr>
            </w:pPr>
            <w:bookmarkStart w:id="2" w:name="_Hlk184547152"/>
            <w:r>
              <w:rPr>
                <w:rFonts w:hint="eastAsia" w:ascii="仿宋_GB2312" w:hAnsi="宋体" w:eastAsia="仿宋_GB2312"/>
                <w:szCs w:val="21"/>
              </w:rPr>
              <w:t>6</w:t>
            </w:r>
          </w:p>
        </w:tc>
        <w:tc>
          <w:tcPr>
            <w:tcW w:w="666"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姬宇翔</w:t>
            </w:r>
          </w:p>
        </w:tc>
        <w:tc>
          <w:tcPr>
            <w:tcW w:w="407"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药剂筛选</w:t>
            </w:r>
          </w:p>
        </w:tc>
      </w:tr>
      <w:bookmarkEnd w:id="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7</w:t>
            </w:r>
          </w:p>
        </w:tc>
        <w:tc>
          <w:tcPr>
            <w:tcW w:w="666"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贺</w:t>
            </w:r>
            <w:r>
              <w:rPr>
                <w:rFonts w:hint="eastAsia" w:ascii="仿宋_GB2312" w:hAnsi="宋体" w:eastAsia="仿宋_GB2312"/>
                <w:color w:val="000000" w:themeColor="text1"/>
                <w:szCs w:val="21"/>
                <w:lang w:val="en-US" w:eastAsia="zh-CN"/>
                <w14:textFill>
                  <w14:solidFill>
                    <w14:schemeClr w14:val="tx1"/>
                  </w14:solidFill>
                </w14:textFill>
              </w:rPr>
              <w:t xml:space="preserve"> </w:t>
            </w:r>
            <w:r>
              <w:rPr>
                <w:rFonts w:hint="eastAsia" w:ascii="仿宋_GB2312" w:hAnsi="宋体" w:eastAsia="仿宋_GB2312"/>
                <w:color w:val="000000" w:themeColor="text1"/>
                <w:szCs w:val="21"/>
                <w:lang w:eastAsia="zh-CN"/>
                <w14:textFill>
                  <w14:solidFill>
                    <w14:schemeClr w14:val="tx1"/>
                  </w14:solidFill>
                </w14:textFill>
              </w:rPr>
              <w:t>兰</w:t>
            </w:r>
          </w:p>
        </w:tc>
        <w:tc>
          <w:tcPr>
            <w:tcW w:w="407"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女</w:t>
            </w:r>
          </w:p>
        </w:tc>
        <w:tc>
          <w:tcPr>
            <w:tcW w:w="792"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贺兰县金贵镇农业综合服务中心</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药剂筛选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jc w:val="center"/>
        </w:trPr>
        <w:tc>
          <w:tcPr>
            <w:tcW w:w="412" w:type="pct"/>
            <w:vAlign w:val="center"/>
          </w:tcPr>
          <w:p>
            <w:pPr>
              <w:spacing w:line="240" w:lineRule="exact"/>
              <w:jc w:val="center"/>
              <w:rPr>
                <w:rFonts w:hint="eastAsia" w:ascii="仿宋_GB2312" w:hAnsi="宋体" w:eastAsia="仿宋_GB2312"/>
                <w:szCs w:val="21"/>
              </w:rPr>
            </w:pPr>
            <w:r>
              <w:rPr>
                <w:rFonts w:hint="eastAsia" w:ascii="仿宋_GB2312" w:hAnsi="宋体" w:eastAsia="仿宋_GB2312"/>
                <w:szCs w:val="21"/>
              </w:rPr>
              <w:t>8</w:t>
            </w:r>
          </w:p>
        </w:tc>
        <w:tc>
          <w:tcPr>
            <w:tcW w:w="666"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沈</w:t>
            </w:r>
            <w:r>
              <w:rPr>
                <w:rFonts w:hint="eastAsia" w:ascii="仿宋_GB2312" w:hAnsi="宋体" w:eastAsia="仿宋_GB2312"/>
                <w:color w:val="000000" w:themeColor="text1"/>
                <w:szCs w:val="21"/>
                <w:lang w:val="en-US" w:eastAsia="zh-CN"/>
                <w14:textFill>
                  <w14:solidFill>
                    <w14:schemeClr w14:val="tx1"/>
                  </w14:solidFill>
                </w14:textFill>
              </w:rPr>
              <w:t xml:space="preserve"> </w:t>
            </w:r>
            <w:r>
              <w:rPr>
                <w:rFonts w:hint="eastAsia" w:ascii="仿宋_GB2312" w:hAnsi="宋体" w:eastAsia="仿宋_GB2312"/>
                <w:color w:val="000000" w:themeColor="text1"/>
                <w:szCs w:val="21"/>
                <w:lang w:eastAsia="zh-CN"/>
                <w14:textFill>
                  <w14:solidFill>
                    <w14:schemeClr w14:val="tx1"/>
                  </w14:solidFill>
                </w14:textFill>
              </w:rPr>
              <w:t>雯</w:t>
            </w:r>
          </w:p>
        </w:tc>
        <w:tc>
          <w:tcPr>
            <w:tcW w:w="407"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女</w:t>
            </w:r>
          </w:p>
        </w:tc>
        <w:tc>
          <w:tcPr>
            <w:tcW w:w="792" w:type="pct"/>
            <w:vAlign w:val="center"/>
          </w:tcPr>
          <w:p>
            <w:pPr>
              <w:pStyle w:val="24"/>
              <w:spacing w:before="1"/>
              <w:ind w:left="106" w:leftChars="0"/>
              <w:rPr>
                <w:rFonts w:hint="eastAsia" w:ascii="仿宋_GB2312" w:hAnsi="宋体" w:eastAsia="仿宋_GB2312" w:cs="宋体"/>
                <w:kern w:val="0"/>
                <w:sz w:val="21"/>
                <w:szCs w:val="21"/>
                <w:lang w:val="en-US" w:eastAsia="zh-CN" w:bidi="zh-CN"/>
              </w:rPr>
            </w:pPr>
            <w:r>
              <w:rPr>
                <w:rFonts w:hint="eastAsia" w:ascii="仿宋_GB2312" w:eastAsia="仿宋_GB2312"/>
                <w:sz w:val="21"/>
                <w:szCs w:val="21"/>
              </w:rPr>
              <w:t>农艺师</w:t>
            </w:r>
          </w:p>
        </w:tc>
        <w:tc>
          <w:tcPr>
            <w:tcW w:w="2064" w:type="pct"/>
            <w:vAlign w:val="center"/>
          </w:tcPr>
          <w:p>
            <w:pPr>
              <w:pStyle w:val="24"/>
              <w:spacing w:before="1"/>
              <w:ind w:left="106" w:leftChars="0"/>
              <w:rPr>
                <w:rFonts w:ascii="仿宋_GB2312" w:hAnsi="宋体" w:eastAsia="仿宋_GB2312" w:cs="宋体"/>
                <w:kern w:val="0"/>
                <w:sz w:val="21"/>
                <w:szCs w:val="21"/>
                <w:lang w:val="en-US" w:eastAsia="zh-CN" w:bidi="zh-CN"/>
              </w:rPr>
            </w:pPr>
            <w:r>
              <w:rPr>
                <w:rFonts w:hint="eastAsia" w:ascii="仿宋_GB2312" w:eastAsia="仿宋_GB2312"/>
                <w:sz w:val="21"/>
                <w:szCs w:val="21"/>
                <w:lang w:val="en-US"/>
              </w:rPr>
              <w:t>宁夏回族自治区农产品质量安全中心</w:t>
            </w:r>
          </w:p>
        </w:tc>
        <w:tc>
          <w:tcPr>
            <w:tcW w:w="657"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药剂筛选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9</w:t>
            </w:r>
          </w:p>
        </w:tc>
        <w:tc>
          <w:tcPr>
            <w:tcW w:w="666"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周兴隆</w:t>
            </w:r>
          </w:p>
        </w:tc>
        <w:tc>
          <w:tcPr>
            <w:tcW w:w="407"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技术示范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10</w:t>
            </w:r>
          </w:p>
        </w:tc>
        <w:tc>
          <w:tcPr>
            <w:tcW w:w="666"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张战胜</w:t>
            </w:r>
          </w:p>
        </w:tc>
        <w:tc>
          <w:tcPr>
            <w:tcW w:w="407"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szCs w:val="21"/>
              </w:rPr>
              <w:t>药剂筛选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11</w:t>
            </w:r>
          </w:p>
        </w:tc>
        <w:tc>
          <w:tcPr>
            <w:tcW w:w="666"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t>侯泽颖</w:t>
            </w:r>
          </w:p>
        </w:tc>
        <w:tc>
          <w:tcPr>
            <w:tcW w:w="407" w:type="pct"/>
            <w:vAlign w:val="center"/>
          </w:tcPr>
          <w:p>
            <w:pPr>
              <w:spacing w:line="240" w:lineRule="exact"/>
              <w:jc w:val="center"/>
              <w:rPr>
                <w:rFonts w:hint="eastAsia"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女</w:t>
            </w:r>
          </w:p>
        </w:tc>
        <w:tc>
          <w:tcPr>
            <w:tcW w:w="792" w:type="pct"/>
            <w:vAlign w:val="center"/>
          </w:tcPr>
          <w:p>
            <w:pPr>
              <w:spacing w:line="240" w:lineRule="exact"/>
              <w:jc w:val="center"/>
              <w:rPr>
                <w:rFonts w:ascii="仿宋_GB2312" w:hAnsi="宋体" w:eastAsia="仿宋_GB2312" w:cstheme="minorBidi"/>
                <w:color w:val="000000" w:themeColor="text1"/>
                <w:kern w:val="2"/>
                <w:sz w:val="21"/>
                <w:szCs w:val="21"/>
                <w:lang w:val="en-US" w:eastAsia="zh-CN" w:bidi="ar-SA"/>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cstheme="minorBidi"/>
                <w:kern w:val="2"/>
                <w:sz w:val="21"/>
                <w:szCs w:val="21"/>
                <w:lang w:val="en-US" w:eastAsia="zh-CN" w:bidi="ar-SA"/>
              </w:rPr>
            </w:pPr>
            <w:r>
              <w:rPr>
                <w:rFonts w:hint="eastAsia" w:ascii="仿宋_GB2312" w:hAnsi="宋体" w:eastAsia="仿宋_GB2312" w:cstheme="minorBidi"/>
                <w:kern w:val="2"/>
                <w:sz w:val="21"/>
                <w:szCs w:val="21"/>
                <w:lang w:val="en-US" w:eastAsia="zh-CN" w:bidi="ar-SA"/>
              </w:rPr>
              <w:t>贺兰县农业技术推广服务中心</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药剂筛选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12</w:t>
            </w:r>
          </w:p>
        </w:tc>
        <w:tc>
          <w:tcPr>
            <w:tcW w:w="666"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杨旭峰</w:t>
            </w:r>
          </w:p>
        </w:tc>
        <w:tc>
          <w:tcPr>
            <w:tcW w:w="407"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高级农艺师</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lang w:eastAsia="zh-CN"/>
              </w:rPr>
              <w:t>永宁</w:t>
            </w:r>
            <w:r>
              <w:rPr>
                <w:rFonts w:hint="eastAsia" w:ascii="仿宋_GB2312" w:hAnsi="宋体" w:eastAsia="仿宋_GB2312"/>
                <w:szCs w:val="21"/>
              </w:rPr>
              <w:t>县农业技术推广服务中心</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药剂筛选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ascii="仿宋_GB2312" w:hAnsi="宋体" w:eastAsia="仿宋_GB2312"/>
                <w:szCs w:val="21"/>
              </w:rPr>
            </w:pPr>
            <w:bookmarkStart w:id="3" w:name="_Hlk184546830"/>
            <w:r>
              <w:rPr>
                <w:rFonts w:hint="eastAsia" w:ascii="仿宋_GB2312" w:hAnsi="宋体" w:eastAsia="仿宋_GB2312"/>
                <w:szCs w:val="21"/>
              </w:rPr>
              <w:t>13</w:t>
            </w:r>
          </w:p>
        </w:tc>
        <w:tc>
          <w:tcPr>
            <w:tcW w:w="666"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段心宁</w:t>
            </w:r>
          </w:p>
        </w:tc>
        <w:tc>
          <w:tcPr>
            <w:tcW w:w="407"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cstheme="minorBidi"/>
                <w:kern w:val="2"/>
                <w:sz w:val="21"/>
                <w:szCs w:val="21"/>
                <w:lang w:val="en-US" w:eastAsia="zh-CN" w:bidi="ar-SA"/>
              </w:rPr>
              <w:t>贺兰县农业技术推广服务中心</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技术示范</w:t>
            </w: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exact"/>
          <w:jc w:val="center"/>
        </w:trPr>
        <w:tc>
          <w:tcPr>
            <w:tcW w:w="412" w:type="pct"/>
            <w:vAlign w:val="center"/>
          </w:tcPr>
          <w:p>
            <w:pPr>
              <w:spacing w:line="240" w:lineRule="exact"/>
              <w:jc w:val="center"/>
              <w:rPr>
                <w:rFonts w:hint="eastAsia" w:ascii="仿宋_GB2312" w:hAnsi="宋体" w:eastAsia="仿宋_GB2312"/>
                <w:szCs w:val="21"/>
              </w:rPr>
            </w:pPr>
            <w:r>
              <w:rPr>
                <w:rFonts w:hint="eastAsia" w:ascii="仿宋_GB2312" w:hAnsi="宋体" w:eastAsia="仿宋_GB2312"/>
                <w:szCs w:val="21"/>
              </w:rPr>
              <w:t>14</w:t>
            </w:r>
          </w:p>
        </w:tc>
        <w:tc>
          <w:tcPr>
            <w:tcW w:w="666"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申</w:t>
            </w:r>
            <w:r>
              <w:rPr>
                <w:rFonts w:hint="eastAsia" w:ascii="仿宋_GB2312" w:hAnsi="宋体" w:eastAsia="仿宋_GB2312"/>
                <w:color w:val="000000" w:themeColor="text1"/>
                <w:szCs w:val="21"/>
                <w:lang w:val="en-US" w:eastAsia="zh-CN"/>
                <w14:textFill>
                  <w14:solidFill>
                    <w14:schemeClr w14:val="tx1"/>
                  </w14:solidFill>
                </w14:textFill>
              </w:rPr>
              <w:t xml:space="preserve"> </w:t>
            </w:r>
            <w:r>
              <w:rPr>
                <w:rFonts w:hint="eastAsia" w:ascii="仿宋_GB2312" w:hAnsi="宋体" w:eastAsia="仿宋_GB2312"/>
                <w:color w:val="000000" w:themeColor="text1"/>
                <w:szCs w:val="21"/>
                <w:lang w:eastAsia="zh-CN"/>
                <w14:textFill>
                  <w14:solidFill>
                    <w14:schemeClr w14:val="tx1"/>
                  </w14:solidFill>
                </w14:textFill>
              </w:rPr>
              <w:t>昊</w:t>
            </w:r>
          </w:p>
        </w:tc>
        <w:tc>
          <w:tcPr>
            <w:tcW w:w="407"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男</w:t>
            </w:r>
          </w:p>
        </w:tc>
        <w:tc>
          <w:tcPr>
            <w:tcW w:w="792"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lang w:eastAsia="zh-CN"/>
              </w:rPr>
              <w:t>永宁</w:t>
            </w:r>
            <w:r>
              <w:rPr>
                <w:rFonts w:hint="eastAsia" w:ascii="仿宋_GB2312" w:hAnsi="宋体" w:eastAsia="仿宋_GB2312"/>
                <w:szCs w:val="21"/>
              </w:rPr>
              <w:t>县农业技术推广服务中心</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药剂筛选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412"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15</w:t>
            </w:r>
          </w:p>
        </w:tc>
        <w:tc>
          <w:tcPr>
            <w:tcW w:w="666"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李喜红</w:t>
            </w:r>
          </w:p>
        </w:tc>
        <w:tc>
          <w:tcPr>
            <w:tcW w:w="407"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女</w:t>
            </w:r>
          </w:p>
        </w:tc>
        <w:tc>
          <w:tcPr>
            <w:tcW w:w="792" w:type="pct"/>
            <w:vAlign w:val="center"/>
          </w:tcPr>
          <w:p>
            <w:pPr>
              <w:spacing w:line="240" w:lineRule="exact"/>
              <w:jc w:val="center"/>
              <w:rPr>
                <w:rFonts w:ascii="仿宋_GB2312" w:hAnsi="宋体" w:eastAsia="仿宋_GB2312"/>
                <w:color w:val="000000" w:themeColor="text1"/>
                <w:szCs w:val="21"/>
                <w14:textFill>
                  <w14:solidFill>
                    <w14:schemeClr w14:val="tx1"/>
                  </w14:solidFill>
                </w14:textFill>
              </w:rPr>
            </w:pPr>
            <w:r>
              <w:rPr>
                <w:rFonts w:hint="eastAsia" w:ascii="仿宋_GB2312" w:hAnsi="宋体" w:eastAsia="仿宋_GB2312"/>
                <w:color w:val="000000" w:themeColor="text1"/>
                <w:szCs w:val="21"/>
                <w14:textFill>
                  <w14:solidFill>
                    <w14:schemeClr w14:val="tx1"/>
                  </w14:solidFill>
                </w14:textFill>
              </w:rPr>
              <w:t>农艺师</w:t>
            </w:r>
          </w:p>
        </w:tc>
        <w:tc>
          <w:tcPr>
            <w:tcW w:w="2064"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宁夏回族自治区农业技术推广总站</w:t>
            </w:r>
          </w:p>
        </w:tc>
        <w:tc>
          <w:tcPr>
            <w:tcW w:w="657" w:type="pct"/>
            <w:vAlign w:val="center"/>
          </w:tcPr>
          <w:p>
            <w:pPr>
              <w:spacing w:line="240" w:lineRule="exact"/>
              <w:jc w:val="center"/>
              <w:rPr>
                <w:rFonts w:ascii="仿宋_GB2312" w:hAnsi="宋体" w:eastAsia="仿宋_GB2312"/>
                <w:szCs w:val="21"/>
              </w:rPr>
            </w:pPr>
            <w:r>
              <w:rPr>
                <w:rFonts w:hint="eastAsia" w:ascii="仿宋_GB2312" w:hAnsi="宋体" w:eastAsia="仿宋_GB2312"/>
                <w:szCs w:val="21"/>
              </w:rPr>
              <w:t>技术示范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jc w:val="center"/>
        </w:trPr>
        <w:tc>
          <w:tcPr>
            <w:tcW w:w="412" w:type="pct"/>
            <w:vAlign w:val="center"/>
          </w:tcPr>
          <w:p>
            <w:pPr>
              <w:spacing w:line="240" w:lineRule="exact"/>
              <w:jc w:val="center"/>
              <w:rPr>
                <w:rFonts w:hint="default" w:ascii="仿宋_GB2312" w:hAnsi="宋体" w:eastAsia="仿宋_GB2312"/>
                <w:szCs w:val="21"/>
                <w:lang w:val="en-US" w:eastAsia="zh-CN"/>
              </w:rPr>
            </w:pPr>
            <w:r>
              <w:rPr>
                <w:rFonts w:hint="eastAsia" w:ascii="仿宋_GB2312" w:hAnsi="宋体" w:eastAsia="仿宋_GB2312"/>
                <w:szCs w:val="21"/>
                <w:lang w:val="en-US" w:eastAsia="zh-CN"/>
              </w:rPr>
              <w:t>16</w:t>
            </w:r>
          </w:p>
        </w:tc>
        <w:tc>
          <w:tcPr>
            <w:tcW w:w="666"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张文丽</w:t>
            </w:r>
          </w:p>
        </w:tc>
        <w:tc>
          <w:tcPr>
            <w:tcW w:w="407"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女</w:t>
            </w:r>
          </w:p>
        </w:tc>
        <w:tc>
          <w:tcPr>
            <w:tcW w:w="792" w:type="pct"/>
            <w:vAlign w:val="center"/>
          </w:tcPr>
          <w:p>
            <w:pPr>
              <w:spacing w:line="240" w:lineRule="exact"/>
              <w:jc w:val="center"/>
              <w:rPr>
                <w:rFonts w:hint="eastAsia" w:ascii="仿宋_GB2312" w:hAnsi="宋体" w:eastAsia="仿宋_GB2312"/>
                <w:color w:val="000000" w:themeColor="text1"/>
                <w:szCs w:val="21"/>
                <w:lang w:eastAsia="zh-CN"/>
                <w14:textFill>
                  <w14:solidFill>
                    <w14:schemeClr w14:val="tx1"/>
                  </w14:solidFill>
                </w14:textFill>
              </w:rPr>
            </w:pPr>
            <w:r>
              <w:rPr>
                <w:rFonts w:hint="eastAsia" w:ascii="仿宋_GB2312" w:hAnsi="宋体" w:eastAsia="仿宋_GB2312"/>
                <w:color w:val="000000" w:themeColor="text1"/>
                <w:szCs w:val="21"/>
                <w:lang w:eastAsia="zh-CN"/>
                <w14:textFill>
                  <w14:solidFill>
                    <w14:schemeClr w14:val="tx1"/>
                  </w14:solidFill>
                </w14:textFill>
              </w:rPr>
              <w:t>农艺师</w:t>
            </w:r>
          </w:p>
        </w:tc>
        <w:tc>
          <w:tcPr>
            <w:tcW w:w="2064" w:type="pct"/>
            <w:vAlign w:val="center"/>
          </w:tcPr>
          <w:p>
            <w:pPr>
              <w:spacing w:line="240" w:lineRule="exact"/>
              <w:jc w:val="center"/>
              <w:rPr>
                <w:rFonts w:hint="eastAsia" w:ascii="仿宋_GB2312" w:hAnsi="宋体" w:eastAsia="仿宋_GB2312"/>
                <w:szCs w:val="21"/>
                <w:lang w:eastAsia="zh-CN"/>
              </w:rPr>
            </w:pPr>
            <w:r>
              <w:rPr>
                <w:rFonts w:hint="eastAsia" w:ascii="仿宋_GB2312" w:hAnsi="宋体" w:eastAsia="仿宋_GB2312"/>
                <w:szCs w:val="21"/>
                <w:lang w:eastAsia="zh-CN"/>
              </w:rPr>
              <w:t>宁夏回族自治区农业技术推广总站</w:t>
            </w:r>
          </w:p>
        </w:tc>
        <w:tc>
          <w:tcPr>
            <w:tcW w:w="657" w:type="pct"/>
            <w:vAlign w:val="center"/>
          </w:tcPr>
          <w:p>
            <w:pPr>
              <w:spacing w:line="240" w:lineRule="exact"/>
              <w:jc w:val="center"/>
              <w:rPr>
                <w:rFonts w:hint="default" w:ascii="仿宋_GB2312" w:hAnsi="宋体" w:eastAsia="仿宋_GB2312"/>
                <w:szCs w:val="21"/>
                <w:lang w:val="en-US" w:eastAsia="zh-CN"/>
              </w:rPr>
            </w:pPr>
            <w:r>
              <w:rPr>
                <w:rFonts w:hint="eastAsia" w:ascii="仿宋_GB2312" w:hAnsi="宋体" w:eastAsia="仿宋_GB2312"/>
                <w:szCs w:val="21"/>
                <w:lang w:eastAsia="zh-CN"/>
              </w:rPr>
              <w:t>技术示范</w:t>
            </w:r>
            <w:r>
              <w:rPr>
                <w:rFonts w:hint="eastAsia" w:ascii="仿宋_GB2312" w:hAnsi="宋体" w:eastAsia="仿宋_GB2312"/>
                <w:szCs w:val="21"/>
                <w:lang w:val="en-US"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二</w:t>
      </w:r>
      <w:r>
        <w:rPr>
          <w:rFonts w:ascii="黑体" w:hAnsi="黑体" w:eastAsia="黑体" w:cs="黑体"/>
          <w:sz w:val="32"/>
          <w:szCs w:val="32"/>
        </w:rPr>
        <w:t>、制定</w:t>
      </w:r>
      <w:r>
        <w:rPr>
          <w:rFonts w:hint="eastAsia" w:ascii="黑体" w:hAnsi="黑体" w:eastAsia="黑体" w:cs="黑体"/>
          <w:sz w:val="32"/>
          <w:szCs w:val="32"/>
        </w:rPr>
        <w:t>(修订)</w:t>
      </w:r>
      <w:r>
        <w:rPr>
          <w:rFonts w:ascii="黑体" w:hAnsi="黑体" w:eastAsia="黑体" w:cs="黑体"/>
          <w:sz w:val="32"/>
          <w:szCs w:val="32"/>
        </w:rPr>
        <w:t>标准的必要性和意义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深入贯彻习近平总书记提出的“要实打实的调整结构，扩种大豆和油料，提高产能和自给率，见到可考核的成效”精神，扛稳粮食安全政治责任，筑牢粮食安全根基，有效提升全区粮食和重要农产品供给保障水平，自2019年以来，宁夏回族自治区根据20世纪90年代初小麦套种玉米的经验，探索出了小麦套种大豆的种植模式，可实现“一地双收”，是达成“稳粮增豆”战略目标的宁夏特色模式，年均套种面积在7.2万亩左右。但套种模式相比单种呈现出病虫害发生时间提前、发生程度加重的情况，同时存在不同科属作物套种除草剂药害、除草效果不佳等问题，成为制约小麦套种大豆种植模式推广应用的主要因素，现有的小麦、大豆等单种病虫草害防控技术已不适用于套种模式。本标准在系统调查宁夏小麦套种大豆病虫草害发生特点的基础上，结合试验示范，集成了一套在监测预警、防控重点、防治时期上有别于单种模式的关键防控技术，同时结合宁夏风大沙多的独特天气因素，试验集成了浅混土的封闭除草技术，可有效防除小麦套种大豆田间杂草，</w:t>
      </w:r>
      <w:r>
        <w:rPr>
          <w:rFonts w:hint="eastAsia" w:ascii="仿宋_GB2312" w:hAnsi="仿宋_GB2312" w:eastAsia="仿宋_GB2312" w:cs="仿宋_GB2312"/>
          <w:sz w:val="32"/>
          <w:szCs w:val="32"/>
          <w:lang w:eastAsia="zh-CN"/>
        </w:rPr>
        <w:t>促进农药科学安全使用</w:t>
      </w:r>
      <w:r>
        <w:rPr>
          <w:rFonts w:hint="eastAsia" w:ascii="仿宋_GB2312" w:hAnsi="仿宋_GB2312" w:eastAsia="仿宋_GB2312" w:cs="仿宋_GB2312"/>
          <w:sz w:val="32"/>
          <w:szCs w:val="32"/>
        </w:rPr>
        <w:t>，推进小麦和大豆兼容协调发展，促进农业绿色高质量发展。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三</w:t>
      </w:r>
      <w:r>
        <w:rPr>
          <w:rFonts w:ascii="黑体" w:hAnsi="黑体" w:eastAsia="黑体" w:cs="黑体"/>
          <w:sz w:val="32"/>
          <w:szCs w:val="32"/>
        </w:rPr>
        <w:t>、</w:t>
      </w:r>
      <w:r>
        <w:rPr>
          <w:rFonts w:hint="eastAsia" w:ascii="黑体" w:hAnsi="黑体" w:eastAsia="黑体" w:cs="黑体"/>
          <w:sz w:val="32"/>
          <w:szCs w:val="32"/>
        </w:rPr>
        <w:t>主要起草过程</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（一）成立起草组、确定分工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标准起草任务下达以后，宁夏回族自治区农业技术推广总站成立了起草工作组，对标准涉及的试验、示范，有关资料的收集、分析进行了明确分工，具体分工安排见上文表1。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（二）收集资料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bookmarkStart w:id="4" w:name="OLE_LINK37"/>
      <w:r>
        <w:rPr>
          <w:rFonts w:hint="eastAsia" w:ascii="仿宋_GB2312" w:hAnsi="仿宋_GB2312" w:eastAsia="仿宋_GB2312" w:cs="仿宋_GB2312"/>
          <w:sz w:val="32"/>
          <w:szCs w:val="32"/>
        </w:rPr>
        <w:t>标准起草过程中，</w:t>
      </w:r>
      <w:bookmarkEnd w:id="4"/>
      <w:r>
        <w:rPr>
          <w:rFonts w:hint="eastAsia" w:ascii="仿宋_GB2312" w:hAnsi="仿宋_GB2312" w:eastAsia="仿宋_GB2312" w:cs="仿宋_GB2312"/>
          <w:sz w:val="32"/>
          <w:szCs w:val="32"/>
        </w:rPr>
        <w:t>起草工作组对法律法规、政策文件、标准等相关资料进行了收集、分析，主要包括：</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GB 4404.1 粮食作物种子 第1部分：禾谷类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GB 4404.2 粮食作物种子 第2部分：豆类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GB/T 8321（所有部分）农药合理使用准则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GB/T 15795 小麦条锈病测报技术规范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GB/T 15800 棉铃虫测报调查规范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GB/T 17997 农药喷雾机（器）田间操作规程及喷洒质量评定</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NY/T 612 小麦蚜虫测报调查规范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NY/T 613 小麦白粉病测报调查规范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NY/T 616 小麦吸浆虫测报调查规范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NY/T 1276 农药安全使用规范总则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DB64/T 2044-2024 引黄灌区小麦大豆复合种植技术规程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cs="Times New Roman"/>
        </w:rPr>
      </w:pPr>
      <w:r>
        <w:rPr>
          <w:rFonts w:hint="eastAsia" w:ascii="Times New Roman" w:hAnsi="Times New Roman" w:eastAsia="仿宋_GB2312" w:cs="Times New Roman"/>
          <w:sz w:val="32"/>
          <w:szCs w:val="32"/>
        </w:rPr>
        <w:t>农药包装废弃</w:t>
      </w:r>
      <w:r>
        <w:rPr>
          <w:rFonts w:ascii="Times New Roman" w:hAnsi="Times New Roman" w:eastAsia="仿宋_GB2312" w:cs="Times New Roman"/>
          <w:sz w:val="32"/>
          <w:szCs w:val="32"/>
        </w:rPr>
        <w:t>物回收处理管理办法（中华人民共和国农业农村部 生态环境部 2020年第6号令）</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（三）编制标准草案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年</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1</w:t>
      </w:r>
      <w:r>
        <w:rPr>
          <w:rFonts w:ascii="Times New Roman" w:hAnsi="Times New Roman" w:eastAsia="仿宋_GB2312" w:cs="Times New Roman"/>
          <w:color w:val="000000" w:themeColor="text1"/>
          <w:sz w:val="32"/>
          <w:szCs w:val="32"/>
          <w14:textFill>
            <w14:solidFill>
              <w14:schemeClr w14:val="tx1"/>
            </w14:solidFill>
          </w14:textFill>
        </w:rPr>
        <w:t>月，标准起草组对所收集的资料进行梳理、分析</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形成工作组讨论稿。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cs="Times New Roman"/>
          <w:color w:val="000000" w:themeColor="text1"/>
          <w:sz w:val="32"/>
          <w:szCs w:val="32"/>
          <w14:textFill>
            <w14:solidFill>
              <w14:schemeClr w14:val="tx1"/>
            </w14:solidFill>
          </w14:textFill>
        </w:rPr>
        <w:t>202</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5</w:t>
      </w:r>
      <w:r>
        <w:rPr>
          <w:rFonts w:ascii="Times New Roman" w:hAnsi="Times New Roman" w:eastAsia="仿宋_GB2312" w:cs="Times New Roman"/>
          <w:color w:val="000000" w:themeColor="text1"/>
          <w:sz w:val="32"/>
          <w:szCs w:val="32"/>
          <w14:textFill>
            <w14:solidFill>
              <w14:schemeClr w14:val="tx1"/>
            </w14:solidFill>
          </w14:textFill>
        </w:rPr>
        <w:t>年1</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w:t>
      </w:r>
      <w:r>
        <w:rPr>
          <w:rFonts w:ascii="Times New Roman" w:hAnsi="Times New Roman" w:eastAsia="仿宋_GB2312" w:cs="Times New Roman"/>
          <w:color w:val="000000" w:themeColor="text1"/>
          <w:sz w:val="32"/>
          <w:szCs w:val="32"/>
          <w14:textFill>
            <w14:solidFill>
              <w14:schemeClr w14:val="tx1"/>
            </w14:solidFill>
          </w14:textFill>
        </w:rPr>
        <w:t>月，工作组召开标准讨论会，经修改后形成标准征求意见稿，完成</w:t>
      </w:r>
      <w:r>
        <w:rPr>
          <w:rFonts w:ascii="Times New Roman" w:hAnsi="Times New Roman" w:eastAsia="仿宋_GB2312" w:cs="Times New Roman"/>
          <w:sz w:val="32"/>
          <w:szCs w:val="32"/>
        </w:rPr>
        <w:t>编制说明的编写。</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（四）征求意见</w:t>
      </w:r>
    </w:p>
    <w:p>
      <w:pPr>
        <w:keepNext w:val="0"/>
        <w:keepLines w:val="0"/>
        <w:pageBreakBefore w:val="0"/>
        <w:widowControl w:val="0"/>
        <w:kinsoku/>
        <w:wordWrap/>
        <w:overflowPunct/>
        <w:topLinePunct w:val="0"/>
        <w:autoSpaceDE/>
        <w:autoSpaceDN/>
        <w:bidi w:val="0"/>
        <w:adjustRightInd/>
        <w:snapToGrid/>
        <w:spacing w:before="57" w:after="2" w:line="600" w:lineRule="exact"/>
        <w:ind w:firstLine="640" w:firstLineChars="200"/>
        <w:textAlignment w:val="auto"/>
        <w:rPr>
          <w:rFonts w:ascii="Times New Roman" w:hAnsi="Times New Roman" w:eastAsia="仿宋_GB2312" w:cs="仿宋_GB2312"/>
          <w:sz w:val="32"/>
          <w:szCs w:val="32"/>
        </w:rPr>
      </w:pPr>
      <w:r>
        <w:rPr>
          <w:rFonts w:hint="eastAsia" w:ascii="Times New Roman" w:hAnsi="Times New Roman" w:eastAsia="仿宋_GB2312" w:cs="仿宋_GB2312"/>
          <w:sz w:val="32"/>
          <w:szCs w:val="32"/>
        </w:rPr>
        <w:t>202</w:t>
      </w:r>
      <w:r>
        <w:rPr>
          <w:rFonts w:hint="eastAsia" w:ascii="Times New Roman" w:hAnsi="Times New Roman" w:eastAsia="仿宋_GB2312" w:cs="仿宋_GB2312"/>
          <w:sz w:val="32"/>
          <w:szCs w:val="32"/>
          <w:lang w:val="en-US" w:eastAsia="zh-CN"/>
        </w:rPr>
        <w:t>6</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1</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eastAsia="zh-CN"/>
        </w:rPr>
        <w:t>上旬</w:t>
      </w:r>
      <w:r>
        <w:rPr>
          <w:rFonts w:hint="eastAsia" w:ascii="Times New Roman" w:hAnsi="Times New Roman" w:eastAsia="仿宋_GB2312" w:cs="仿宋_GB2312"/>
          <w:sz w:val="32"/>
          <w:szCs w:val="32"/>
        </w:rPr>
        <w:t>，就标准内容和集成的主要技术在全区范围内开展调研，并向区内相关领域的5位专家（表2）和应用单位发送了标准征求意见稿文本和编制说明，广泛征求意见建议。</w:t>
      </w:r>
    </w:p>
    <w:p>
      <w:pPr>
        <w:keepNext w:val="0"/>
        <w:keepLines w:val="0"/>
        <w:pageBreakBefore w:val="0"/>
        <w:widowControl w:val="0"/>
        <w:kinsoku/>
        <w:wordWrap/>
        <w:overflowPunct/>
        <w:topLinePunct w:val="0"/>
        <w:autoSpaceDE/>
        <w:autoSpaceDN/>
        <w:bidi w:val="0"/>
        <w:adjustRightInd/>
        <w:snapToGrid/>
        <w:spacing w:before="57" w:after="2" w:line="600" w:lineRule="exact"/>
        <w:textAlignment w:val="auto"/>
        <w:rPr>
          <w:rFonts w:hint="eastAsia" w:ascii="Times New Roman" w:hAnsi="Times New Roman" w:cs="宋体"/>
          <w:b/>
          <w:bCs/>
          <w:kern w:val="0"/>
          <w:sz w:val="28"/>
          <w:szCs w:val="28"/>
        </w:rPr>
      </w:pPr>
      <w:r>
        <w:rPr>
          <w:rFonts w:hint="eastAsia" w:ascii="Times New Roman" w:hAnsi="Times New Roman" w:eastAsia="仿宋_GB2312" w:cs="仿宋_GB2312"/>
          <w:sz w:val="32"/>
          <w:szCs w:val="32"/>
        </w:rPr>
        <w:t>收集并整理意见</w:t>
      </w:r>
      <w:r>
        <w:rPr>
          <w:rFonts w:hint="eastAsia" w:ascii="Times New Roman" w:hAnsi="Times New Roman" w:eastAsia="仿宋_GB2312" w:cs="仿宋_GB2312"/>
          <w:sz w:val="32"/>
          <w:szCs w:val="32"/>
          <w:lang w:eastAsia="zh-CN"/>
        </w:rPr>
        <w:t>共</w:t>
      </w:r>
      <w:r>
        <w:rPr>
          <w:rFonts w:hint="eastAsia" w:ascii="Times New Roman" w:hAnsi="Times New Roman" w:eastAsia="仿宋_GB2312" w:cs="仿宋_GB2312"/>
          <w:sz w:val="32"/>
          <w:szCs w:val="32"/>
          <w:lang w:val="en-US" w:eastAsia="zh-CN"/>
        </w:rPr>
        <w:t>39</w:t>
      </w:r>
      <w:r>
        <w:rPr>
          <w:rFonts w:hint="eastAsia" w:ascii="Times New Roman" w:hAnsi="Times New Roman" w:eastAsia="仿宋_GB2312" w:cs="仿宋_GB2312"/>
          <w:sz w:val="32"/>
          <w:szCs w:val="32"/>
        </w:rPr>
        <w:t>，采纳</w:t>
      </w:r>
      <w:r>
        <w:rPr>
          <w:rFonts w:hint="eastAsia" w:ascii="Times New Roman" w:hAnsi="Times New Roman" w:eastAsia="仿宋_GB2312" w:cs="仿宋_GB2312"/>
          <w:sz w:val="32"/>
          <w:szCs w:val="32"/>
          <w:lang w:val="en-US" w:eastAsia="zh-CN"/>
        </w:rPr>
        <w:t>29</w:t>
      </w:r>
      <w:r>
        <w:rPr>
          <w:rFonts w:hint="eastAsia" w:ascii="Times New Roman" w:hAnsi="Times New Roman" w:eastAsia="仿宋_GB2312" w:cs="仿宋_GB2312"/>
          <w:sz w:val="32"/>
          <w:szCs w:val="32"/>
        </w:rPr>
        <w:t>条意见，</w:t>
      </w:r>
      <w:r>
        <w:rPr>
          <w:rFonts w:hint="eastAsia" w:ascii="Times New Roman" w:hAnsi="Times New Roman" w:eastAsia="仿宋_GB2312" w:cs="仿宋_GB2312"/>
          <w:sz w:val="32"/>
          <w:szCs w:val="32"/>
          <w:lang w:eastAsia="zh-CN"/>
        </w:rPr>
        <w:t>部分采纳</w:t>
      </w:r>
      <w:r>
        <w:rPr>
          <w:rFonts w:hint="eastAsia" w:ascii="Times New Roman" w:hAnsi="Times New Roman" w:eastAsia="仿宋_GB2312" w:cs="仿宋_GB2312"/>
          <w:sz w:val="32"/>
          <w:szCs w:val="32"/>
          <w:lang w:val="en-US" w:eastAsia="zh-CN"/>
        </w:rPr>
        <w:t>5条意见，不采纳5条意见，</w:t>
      </w:r>
      <w:r>
        <w:rPr>
          <w:rFonts w:hint="eastAsia" w:ascii="Times New Roman" w:hAnsi="Times New Roman" w:eastAsia="仿宋_GB2312" w:cs="仿宋_GB2312"/>
          <w:sz w:val="32"/>
          <w:szCs w:val="32"/>
        </w:rPr>
        <w:t>并根据采纳意见对标准文本进一步修改并形成了《</w:t>
      </w:r>
      <w:r>
        <w:rPr>
          <w:rFonts w:hint="eastAsia" w:ascii="Times New Roman" w:hAnsi="Times New Roman" w:eastAsia="仿宋_GB2312" w:cs="仿宋_GB2312"/>
          <w:sz w:val="32"/>
          <w:szCs w:val="32"/>
          <w:lang w:eastAsia="zh-CN"/>
        </w:rPr>
        <w:t>小麦套种大豆病虫草害</w:t>
      </w:r>
      <w:r>
        <w:rPr>
          <w:rFonts w:hint="eastAsia" w:ascii="Times New Roman" w:hAnsi="Times New Roman" w:eastAsia="仿宋_GB2312" w:cs="仿宋_GB2312"/>
          <w:sz w:val="32"/>
          <w:szCs w:val="32"/>
        </w:rPr>
        <w:t>防控技术规程》（</w:t>
      </w:r>
      <w:r>
        <w:rPr>
          <w:rFonts w:hint="eastAsia" w:ascii="Times New Roman" w:hAnsi="Times New Roman" w:eastAsia="仿宋_GB2312" w:cs="仿宋_GB2312"/>
          <w:sz w:val="32"/>
          <w:szCs w:val="32"/>
          <w:lang w:eastAsia="zh-CN"/>
        </w:rPr>
        <w:t>征求意见</w:t>
      </w:r>
      <w:r>
        <w:rPr>
          <w:rFonts w:hint="eastAsia" w:ascii="Times New Roman" w:hAnsi="Times New Roman" w:eastAsia="仿宋_GB2312" w:cs="仿宋_GB2312"/>
          <w:sz w:val="32"/>
          <w:szCs w:val="32"/>
        </w:rPr>
        <w:t>稿）和编制说明，对于不予采纳的意见，与相关人员进行沟通并达成共识，保证该标准的科学性和适用性。</w:t>
      </w:r>
    </w:p>
    <w:p>
      <w:pPr>
        <w:spacing w:before="57" w:after="2" w:line="520" w:lineRule="exact"/>
        <w:jc w:val="center"/>
        <w:rPr>
          <w:rFonts w:ascii="Times New Roman" w:hAnsi="Times New Roman"/>
        </w:rPr>
      </w:pPr>
      <w:r>
        <w:rPr>
          <w:rFonts w:hint="eastAsia" w:ascii="Times New Roman" w:hAnsi="Times New Roman" w:cs="宋体"/>
          <w:b/>
          <w:bCs/>
          <w:kern w:val="0"/>
          <w:sz w:val="28"/>
          <w:szCs w:val="28"/>
        </w:rPr>
        <w:t>表 2</w:t>
      </w:r>
      <w:r>
        <w:rPr>
          <w:rFonts w:ascii="Times New Roman" w:hAnsi="Times New Roman" w:cs="宋体"/>
          <w:b/>
          <w:bCs/>
          <w:kern w:val="0"/>
          <w:sz w:val="28"/>
          <w:szCs w:val="28"/>
        </w:rPr>
        <w:t xml:space="preserve"> </w:t>
      </w:r>
      <w:r>
        <w:rPr>
          <w:rFonts w:hint="eastAsia" w:ascii="Times New Roman" w:hAnsi="Times New Roman" w:cs="宋体"/>
          <w:b/>
          <w:bCs/>
          <w:kern w:val="0"/>
          <w:sz w:val="28"/>
          <w:szCs w:val="28"/>
        </w:rPr>
        <w:t>意见征询专家名单</w:t>
      </w:r>
    </w:p>
    <w:tbl>
      <w:tblPr>
        <w:tblStyle w:val="10"/>
        <w:tblW w:w="813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1437"/>
        <w:gridCol w:w="1740"/>
        <w:gridCol w:w="1320"/>
        <w:gridCol w:w="28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52" w:line="220" w:lineRule="exact"/>
              <w:ind w:left="109" w:right="96"/>
              <w:jc w:val="center"/>
              <w:rPr>
                <w:rFonts w:hint="eastAsia" w:ascii="黑体" w:hAnsi="黑体" w:eastAsia="黑体" w:cs="黑体"/>
                <w:kern w:val="0"/>
                <w:sz w:val="24"/>
              </w:rPr>
            </w:pPr>
            <w:r>
              <w:rPr>
                <w:rFonts w:hint="eastAsia" w:ascii="黑体" w:hAnsi="黑体" w:eastAsia="黑体" w:cs="黑体"/>
                <w:kern w:val="0"/>
                <w:sz w:val="24"/>
              </w:rPr>
              <w:t>序号</w:t>
            </w:r>
          </w:p>
        </w:tc>
        <w:tc>
          <w:tcPr>
            <w:tcW w:w="1437"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jc w:val="center"/>
              <w:rPr>
                <w:rFonts w:hint="eastAsia" w:ascii="黑体" w:hAnsi="黑体" w:eastAsia="黑体" w:cs="黑体"/>
                <w:kern w:val="0"/>
                <w:sz w:val="24"/>
              </w:rPr>
            </w:pPr>
            <w:r>
              <w:rPr>
                <w:rFonts w:hint="eastAsia" w:ascii="黑体" w:hAnsi="黑体" w:eastAsia="黑体" w:cs="黑体"/>
                <w:kern w:val="0"/>
                <w:sz w:val="24"/>
              </w:rPr>
              <w:t>姓 名</w:t>
            </w:r>
          </w:p>
        </w:tc>
        <w:tc>
          <w:tcPr>
            <w:tcW w:w="1740"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ind w:left="12"/>
              <w:jc w:val="center"/>
              <w:rPr>
                <w:rFonts w:hint="eastAsia" w:ascii="黑体" w:hAnsi="黑体" w:eastAsia="黑体" w:cs="黑体"/>
                <w:kern w:val="0"/>
                <w:sz w:val="24"/>
              </w:rPr>
            </w:pPr>
            <w:r>
              <w:rPr>
                <w:rFonts w:hint="eastAsia" w:ascii="黑体" w:hAnsi="黑体" w:eastAsia="黑体" w:cs="黑体"/>
                <w:kern w:val="0"/>
                <w:sz w:val="24"/>
              </w:rPr>
              <w:t>职称</w:t>
            </w:r>
          </w:p>
        </w:tc>
        <w:tc>
          <w:tcPr>
            <w:tcW w:w="1320"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ind w:left="99" w:right="87"/>
              <w:jc w:val="center"/>
              <w:rPr>
                <w:rFonts w:hint="eastAsia" w:ascii="黑体" w:hAnsi="黑体" w:eastAsia="黑体" w:cs="黑体"/>
                <w:kern w:val="0"/>
                <w:sz w:val="24"/>
              </w:rPr>
            </w:pPr>
            <w:r>
              <w:rPr>
                <w:rFonts w:hint="eastAsia" w:ascii="黑体" w:hAnsi="黑体" w:eastAsia="黑体" w:cs="黑体"/>
                <w:kern w:val="0"/>
                <w:sz w:val="24"/>
              </w:rPr>
              <w:t>从事专业</w:t>
            </w:r>
          </w:p>
        </w:tc>
        <w:tc>
          <w:tcPr>
            <w:tcW w:w="2825"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ind w:left="188" w:right="178"/>
              <w:jc w:val="center"/>
              <w:rPr>
                <w:rFonts w:hint="eastAsia" w:ascii="黑体" w:hAnsi="黑体" w:eastAsia="黑体" w:cs="黑体"/>
                <w:kern w:val="0"/>
                <w:sz w:val="24"/>
              </w:rPr>
            </w:pPr>
            <w:r>
              <w:rPr>
                <w:rFonts w:hint="eastAsia" w:ascii="黑体" w:hAnsi="黑体" w:eastAsia="黑体" w:cs="黑体"/>
                <w:kern w:val="0"/>
                <w:sz w:val="24"/>
              </w:rPr>
              <w:t>工作单位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3" w:hRule="atLeas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68" w:line="220" w:lineRule="exact"/>
              <w:ind w:left="9"/>
              <w:jc w:val="center"/>
              <w:rPr>
                <w:rFonts w:ascii="Times New Roman" w:hAnsi="Times New Roman" w:eastAsia="仿宋" w:cs="宋体"/>
                <w:kern w:val="0"/>
                <w:sz w:val="24"/>
              </w:rPr>
            </w:pPr>
            <w:r>
              <w:rPr>
                <w:rFonts w:ascii="Times New Roman" w:hAnsi="Times New Roman" w:eastAsia="仿宋" w:cs="宋体"/>
                <w:kern w:val="0"/>
                <w:sz w:val="24"/>
              </w:rPr>
              <w:t>1</w:t>
            </w:r>
          </w:p>
        </w:tc>
        <w:tc>
          <w:tcPr>
            <w:tcW w:w="1437"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jc w:val="center"/>
              <w:rPr>
                <w:rFonts w:hint="eastAsia" w:ascii="Times New Roman" w:hAnsi="Times New Roman" w:eastAsia="仿宋"/>
                <w:kern w:val="0"/>
                <w:sz w:val="24"/>
                <w:lang w:eastAsia="zh-CN"/>
              </w:rPr>
            </w:pPr>
            <w:r>
              <w:rPr>
                <w:rFonts w:hint="eastAsia" w:ascii="Times New Roman" w:hAnsi="Times New Roman" w:eastAsia="仿宋"/>
                <w:kern w:val="0"/>
                <w:sz w:val="24"/>
                <w:lang w:eastAsia="zh-CN"/>
              </w:rPr>
              <w:t>宿文军</w:t>
            </w:r>
          </w:p>
        </w:tc>
        <w:tc>
          <w:tcPr>
            <w:tcW w:w="1740"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7" w:leftChars="0"/>
              <w:jc w:val="center"/>
              <w:rPr>
                <w:rFonts w:hint="eastAsia" w:ascii="Times New Roman" w:hAnsi="Times New Roman" w:eastAsia="仿宋"/>
                <w:kern w:val="0"/>
                <w:sz w:val="24"/>
                <w:lang w:eastAsia="zh-CN"/>
              </w:rPr>
            </w:pPr>
            <w:r>
              <w:rPr>
                <w:rFonts w:hint="eastAsia" w:ascii="Times New Roman" w:hAnsi="Times New Roman" w:eastAsia="仿宋"/>
                <w:kern w:val="0"/>
                <w:sz w:val="24"/>
                <w:lang w:eastAsia="zh-CN"/>
              </w:rPr>
              <w:t>研究员</w:t>
            </w:r>
          </w:p>
        </w:tc>
        <w:tc>
          <w:tcPr>
            <w:tcW w:w="1320"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99" w:leftChars="0" w:right="90" w:rightChars="0"/>
              <w:jc w:val="center"/>
              <w:rPr>
                <w:rFonts w:hint="eastAsia" w:ascii="Times New Roman" w:hAnsi="Times New Roman" w:eastAsia="仿宋"/>
                <w:kern w:val="0"/>
                <w:sz w:val="24"/>
                <w:lang w:eastAsia="zh-CN"/>
              </w:rPr>
            </w:pPr>
            <w:r>
              <w:rPr>
                <w:rFonts w:hint="eastAsia" w:ascii="Times New Roman" w:hAnsi="Times New Roman" w:eastAsia="仿宋"/>
                <w:kern w:val="0"/>
                <w:sz w:val="24"/>
                <w:lang w:eastAsia="zh-CN"/>
              </w:rPr>
              <w:t>农业</w:t>
            </w:r>
          </w:p>
        </w:tc>
        <w:tc>
          <w:tcPr>
            <w:tcW w:w="2825"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188" w:leftChars="0" w:right="180" w:rightChars="0"/>
              <w:jc w:val="center"/>
              <w:rPr>
                <w:rFonts w:hint="eastAsia" w:ascii="Times New Roman" w:hAnsi="Times New Roman" w:eastAsia="仿宋"/>
                <w:kern w:val="0"/>
                <w:sz w:val="24"/>
                <w:lang w:eastAsia="zh-CN"/>
              </w:rPr>
            </w:pPr>
            <w:r>
              <w:rPr>
                <w:rFonts w:hint="eastAsia" w:ascii="Times New Roman" w:hAnsi="Times New Roman" w:eastAsia="仿宋"/>
                <w:kern w:val="0"/>
                <w:sz w:val="24"/>
                <w:lang w:eastAsia="zh-CN"/>
              </w:rPr>
              <w:t>自治区农业农村厅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8" w:hRule="atLeas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67" w:line="220" w:lineRule="exact"/>
              <w:ind w:left="9"/>
              <w:jc w:val="center"/>
              <w:rPr>
                <w:rFonts w:ascii="Times New Roman" w:hAnsi="Times New Roman" w:eastAsia="仿宋" w:cs="宋体"/>
                <w:kern w:val="0"/>
                <w:sz w:val="24"/>
              </w:rPr>
            </w:pPr>
            <w:r>
              <w:rPr>
                <w:rFonts w:ascii="Times New Roman" w:hAnsi="Times New Roman" w:eastAsia="仿宋" w:cs="宋体"/>
                <w:kern w:val="0"/>
                <w:sz w:val="24"/>
              </w:rPr>
              <w:t>2</w:t>
            </w:r>
          </w:p>
        </w:tc>
        <w:tc>
          <w:tcPr>
            <w:tcW w:w="1437"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jc w:val="center"/>
              <w:rPr>
                <w:rFonts w:hint="eastAsia"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马金虎</w:t>
            </w:r>
          </w:p>
        </w:tc>
        <w:tc>
          <w:tcPr>
            <w:tcW w:w="1740"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7" w:leftChars="0"/>
              <w:jc w:val="center"/>
              <w:rPr>
                <w:rFonts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研究员</w:t>
            </w:r>
          </w:p>
        </w:tc>
        <w:tc>
          <w:tcPr>
            <w:tcW w:w="1320"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99" w:leftChars="0" w:right="90" w:rightChars="0"/>
              <w:jc w:val="center"/>
              <w:rPr>
                <w:rFonts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农业</w:t>
            </w:r>
          </w:p>
        </w:tc>
        <w:tc>
          <w:tcPr>
            <w:tcW w:w="2825"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188" w:leftChars="0" w:right="180" w:rightChars="0"/>
              <w:jc w:val="center"/>
              <w:rPr>
                <w:rFonts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宁夏农业勘察设计院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 w:hRule="atLeas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73" w:line="220" w:lineRule="exact"/>
              <w:ind w:left="9"/>
              <w:jc w:val="center"/>
              <w:rPr>
                <w:rFonts w:ascii="Times New Roman" w:hAnsi="Times New Roman" w:eastAsia="仿宋" w:cs="宋体"/>
                <w:kern w:val="0"/>
                <w:sz w:val="24"/>
              </w:rPr>
            </w:pPr>
            <w:r>
              <w:rPr>
                <w:rFonts w:ascii="Times New Roman" w:hAnsi="Times New Roman" w:eastAsia="仿宋" w:cs="宋体"/>
                <w:kern w:val="0"/>
                <w:sz w:val="24"/>
              </w:rPr>
              <w:t>3</w:t>
            </w:r>
          </w:p>
        </w:tc>
        <w:tc>
          <w:tcPr>
            <w:tcW w:w="1437"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jc w:val="center"/>
              <w:rPr>
                <w:rFonts w:hint="eastAsia" w:ascii="Times New Roman" w:hAnsi="Times New Roman" w:eastAsia="仿宋" w:cstheme="minorBidi"/>
                <w:kern w:val="0"/>
                <w:sz w:val="24"/>
                <w:szCs w:val="24"/>
                <w:lang w:val="en-US" w:eastAsia="zh-CN" w:bidi="ar-SA"/>
              </w:rPr>
            </w:pPr>
            <w:r>
              <w:rPr>
                <w:rFonts w:hint="eastAsia" w:ascii="Times New Roman" w:hAnsi="Times New Roman" w:eastAsia="仿宋"/>
                <w:kern w:val="0"/>
                <w:sz w:val="24"/>
                <w:lang w:eastAsia="zh-CN"/>
              </w:rPr>
              <w:t>张</w:t>
            </w:r>
            <w:r>
              <w:rPr>
                <w:rFonts w:hint="eastAsia" w:ascii="Times New Roman" w:hAnsi="Times New Roman" w:eastAsia="仿宋"/>
                <w:kern w:val="0"/>
                <w:sz w:val="24"/>
                <w:lang w:val="en-US" w:eastAsia="zh-CN"/>
              </w:rPr>
              <w:t xml:space="preserve">  </w:t>
            </w:r>
            <w:r>
              <w:rPr>
                <w:rFonts w:hint="eastAsia" w:ascii="Times New Roman" w:hAnsi="Times New Roman" w:eastAsia="仿宋"/>
                <w:kern w:val="0"/>
                <w:sz w:val="24"/>
                <w:lang w:eastAsia="zh-CN"/>
              </w:rPr>
              <w:t>蓉</w:t>
            </w:r>
          </w:p>
        </w:tc>
        <w:tc>
          <w:tcPr>
            <w:tcW w:w="1740" w:type="dxa"/>
            <w:tcBorders>
              <w:top w:val="single" w:color="000000" w:sz="4" w:space="0"/>
              <w:left w:val="nil"/>
              <w:bottom w:val="single" w:color="000000" w:sz="4" w:space="0"/>
              <w:right w:val="single" w:color="000000" w:sz="4" w:space="0"/>
            </w:tcBorders>
            <w:vAlign w:val="center"/>
          </w:tcPr>
          <w:p>
            <w:pPr>
              <w:autoSpaceDE w:val="0"/>
              <w:autoSpaceDN w:val="0"/>
              <w:spacing w:before="157" w:line="220" w:lineRule="exact"/>
              <w:ind w:left="7" w:leftChars="0"/>
              <w:jc w:val="center"/>
              <w:rPr>
                <w:rFonts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研究员</w:t>
            </w:r>
          </w:p>
        </w:tc>
        <w:tc>
          <w:tcPr>
            <w:tcW w:w="1320" w:type="dxa"/>
            <w:tcBorders>
              <w:top w:val="single" w:color="000000" w:sz="4" w:space="0"/>
              <w:left w:val="nil"/>
              <w:bottom w:val="single" w:color="000000" w:sz="4" w:space="0"/>
              <w:right w:val="single" w:color="000000" w:sz="4" w:space="0"/>
            </w:tcBorders>
            <w:vAlign w:val="center"/>
          </w:tcPr>
          <w:p>
            <w:pPr>
              <w:autoSpaceDE w:val="0"/>
              <w:autoSpaceDN w:val="0"/>
              <w:spacing w:before="157" w:line="220" w:lineRule="exact"/>
              <w:ind w:left="99" w:leftChars="0" w:right="90" w:rightChars="0"/>
              <w:jc w:val="center"/>
              <w:rPr>
                <w:rFonts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农业</w:t>
            </w:r>
          </w:p>
        </w:tc>
        <w:tc>
          <w:tcPr>
            <w:tcW w:w="2825" w:type="dxa"/>
            <w:tcBorders>
              <w:top w:val="single" w:color="000000" w:sz="4" w:space="0"/>
              <w:left w:val="nil"/>
              <w:bottom w:val="single" w:color="000000" w:sz="4" w:space="0"/>
              <w:right w:val="single" w:color="000000" w:sz="4" w:space="0"/>
            </w:tcBorders>
            <w:vAlign w:val="center"/>
          </w:tcPr>
          <w:p>
            <w:pPr>
              <w:autoSpaceDE w:val="0"/>
              <w:autoSpaceDN w:val="0"/>
              <w:spacing w:before="80" w:line="220" w:lineRule="exact"/>
              <w:ind w:left="188" w:right="180"/>
              <w:jc w:val="center"/>
              <w:rPr>
                <w:rFonts w:hint="eastAsia" w:ascii="Times New Roman" w:hAnsi="Times New Roman" w:eastAsia="仿宋"/>
                <w:kern w:val="0"/>
                <w:sz w:val="24"/>
              </w:rPr>
            </w:pPr>
            <w:r>
              <w:rPr>
                <w:rFonts w:hint="eastAsia" w:ascii="Times New Roman" w:hAnsi="Times New Roman" w:eastAsia="仿宋"/>
                <w:kern w:val="0"/>
                <w:sz w:val="24"/>
              </w:rPr>
              <w:t>宁夏农林科学院植物</w:t>
            </w:r>
          </w:p>
          <w:p>
            <w:pPr>
              <w:autoSpaceDE w:val="0"/>
              <w:autoSpaceDN w:val="0"/>
              <w:spacing w:before="4" w:line="220" w:lineRule="exact"/>
              <w:ind w:left="8" w:leftChars="0"/>
              <w:jc w:val="center"/>
              <w:rPr>
                <w:rFonts w:hint="eastAsia"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保护研究所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1" w:hRule="atLeas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50" w:line="220" w:lineRule="exact"/>
              <w:ind w:left="9"/>
              <w:jc w:val="center"/>
              <w:rPr>
                <w:rFonts w:ascii="Times New Roman" w:hAnsi="Times New Roman" w:eastAsia="仿宋" w:cs="宋体"/>
                <w:kern w:val="0"/>
                <w:sz w:val="24"/>
              </w:rPr>
            </w:pPr>
            <w:r>
              <w:rPr>
                <w:rFonts w:ascii="Times New Roman" w:hAnsi="Times New Roman" w:eastAsia="仿宋" w:cs="宋体"/>
                <w:kern w:val="0"/>
                <w:sz w:val="24"/>
              </w:rPr>
              <w:t>4</w:t>
            </w:r>
          </w:p>
        </w:tc>
        <w:tc>
          <w:tcPr>
            <w:tcW w:w="1437"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jc w:val="center"/>
              <w:rPr>
                <w:rFonts w:hint="eastAsia" w:ascii="Times New Roman" w:hAnsi="Times New Roman" w:eastAsia="仿宋" w:cstheme="minorBidi"/>
                <w:kern w:val="0"/>
                <w:sz w:val="24"/>
                <w:szCs w:val="24"/>
                <w:lang w:val="en-US" w:eastAsia="zh-CN" w:bidi="ar-SA"/>
              </w:rPr>
            </w:pPr>
            <w:r>
              <w:rPr>
                <w:rFonts w:hint="eastAsia" w:ascii="Times New Roman" w:hAnsi="Times New Roman" w:eastAsia="仿宋"/>
                <w:kern w:val="0"/>
                <w:sz w:val="24"/>
                <w:lang w:eastAsia="zh-CN"/>
              </w:rPr>
              <w:t>王新谱</w:t>
            </w:r>
          </w:p>
        </w:tc>
        <w:tc>
          <w:tcPr>
            <w:tcW w:w="1740"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7" w:leftChars="0"/>
              <w:jc w:val="center"/>
              <w:rPr>
                <w:rFonts w:hint="eastAsia"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研究员</w:t>
            </w:r>
          </w:p>
        </w:tc>
        <w:tc>
          <w:tcPr>
            <w:tcW w:w="1320" w:type="dxa"/>
            <w:tcBorders>
              <w:top w:val="single" w:color="000000" w:sz="4" w:space="0"/>
              <w:left w:val="nil"/>
              <w:bottom w:val="single" w:color="000000" w:sz="4" w:space="0"/>
              <w:right w:val="single" w:color="000000" w:sz="4" w:space="0"/>
            </w:tcBorders>
            <w:vAlign w:val="center"/>
          </w:tcPr>
          <w:p>
            <w:pPr>
              <w:autoSpaceDE w:val="0"/>
              <w:autoSpaceDN w:val="0"/>
              <w:spacing w:before="174" w:line="220" w:lineRule="exact"/>
              <w:ind w:left="99" w:leftChars="0" w:right="90" w:rightChars="0"/>
              <w:jc w:val="center"/>
              <w:rPr>
                <w:rFonts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农业</w:t>
            </w:r>
          </w:p>
        </w:tc>
        <w:tc>
          <w:tcPr>
            <w:tcW w:w="2825" w:type="dxa"/>
            <w:tcBorders>
              <w:top w:val="single" w:color="000000" w:sz="4" w:space="0"/>
              <w:left w:val="nil"/>
              <w:bottom w:val="single" w:color="000000" w:sz="4" w:space="0"/>
              <w:right w:val="single" w:color="000000" w:sz="4" w:space="0"/>
            </w:tcBorders>
            <w:vAlign w:val="center"/>
          </w:tcPr>
          <w:p>
            <w:pPr>
              <w:autoSpaceDE w:val="0"/>
              <w:autoSpaceDN w:val="0"/>
              <w:spacing w:before="80" w:line="220" w:lineRule="exact"/>
              <w:ind w:left="188" w:leftChars="0" w:right="180" w:rightChars="0"/>
              <w:jc w:val="center"/>
              <w:rPr>
                <w:rFonts w:hint="eastAsia" w:ascii="Times New Roman" w:hAnsi="Times New Roman" w:eastAsia="仿宋" w:cstheme="minorBidi"/>
                <w:kern w:val="0"/>
                <w:sz w:val="24"/>
                <w:szCs w:val="24"/>
                <w:lang w:val="en-US" w:eastAsia="zh-CN" w:bidi="ar-SA"/>
              </w:rPr>
            </w:pPr>
            <w:r>
              <w:rPr>
                <w:rFonts w:hint="eastAsia" w:ascii="Times New Roman" w:hAnsi="Times New Roman" w:eastAsia="仿宋"/>
                <w:kern w:val="0"/>
                <w:sz w:val="24"/>
                <w:lang w:eastAsia="zh-CN"/>
              </w:rPr>
              <w:t>宁夏大学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jc w:val="center"/>
        </w:trPr>
        <w:tc>
          <w:tcPr>
            <w:tcW w:w="816" w:type="dxa"/>
            <w:tcBorders>
              <w:top w:val="single" w:color="000000" w:sz="4" w:space="0"/>
              <w:left w:val="single" w:color="000000" w:sz="4" w:space="0"/>
              <w:bottom w:val="single" w:color="000000" w:sz="4" w:space="0"/>
              <w:right w:val="single" w:color="000000" w:sz="4" w:space="0"/>
            </w:tcBorders>
            <w:vAlign w:val="center"/>
          </w:tcPr>
          <w:p>
            <w:pPr>
              <w:autoSpaceDE w:val="0"/>
              <w:autoSpaceDN w:val="0"/>
              <w:spacing w:before="149" w:line="220" w:lineRule="exact"/>
              <w:ind w:left="9"/>
              <w:jc w:val="center"/>
              <w:rPr>
                <w:rFonts w:ascii="Times New Roman" w:hAnsi="Times New Roman" w:eastAsia="仿宋" w:cs="宋体"/>
                <w:kern w:val="0"/>
                <w:sz w:val="24"/>
              </w:rPr>
            </w:pPr>
            <w:r>
              <w:rPr>
                <w:rFonts w:ascii="Times New Roman" w:hAnsi="Times New Roman" w:eastAsia="仿宋" w:cs="宋体"/>
                <w:kern w:val="0"/>
                <w:sz w:val="24"/>
              </w:rPr>
              <w:t>5</w:t>
            </w:r>
          </w:p>
        </w:tc>
        <w:tc>
          <w:tcPr>
            <w:tcW w:w="1437" w:type="dxa"/>
            <w:tcBorders>
              <w:top w:val="single" w:color="000000" w:sz="4" w:space="0"/>
              <w:left w:val="nil"/>
              <w:bottom w:val="single" w:color="000000" w:sz="4" w:space="0"/>
              <w:right w:val="single" w:color="000000" w:sz="4" w:space="0"/>
            </w:tcBorders>
            <w:vAlign w:val="center"/>
          </w:tcPr>
          <w:p>
            <w:pPr>
              <w:autoSpaceDE w:val="0"/>
              <w:autoSpaceDN w:val="0"/>
              <w:spacing w:before="52" w:line="220" w:lineRule="exact"/>
              <w:jc w:val="center"/>
              <w:rPr>
                <w:rFonts w:hint="eastAsia" w:ascii="Times New Roman" w:hAnsi="Times New Roman" w:eastAsia="仿宋"/>
                <w:kern w:val="0"/>
                <w:sz w:val="24"/>
                <w:lang w:eastAsia="zh-CN"/>
              </w:rPr>
            </w:pPr>
            <w:r>
              <w:rPr>
                <w:rFonts w:hint="eastAsia" w:ascii="Times New Roman" w:hAnsi="Times New Roman" w:eastAsia="仿宋"/>
                <w:kern w:val="0"/>
                <w:sz w:val="24"/>
                <w:lang w:eastAsia="zh-CN"/>
              </w:rPr>
              <w:t>贾志俊</w:t>
            </w:r>
          </w:p>
        </w:tc>
        <w:tc>
          <w:tcPr>
            <w:tcW w:w="1740" w:type="dxa"/>
            <w:tcBorders>
              <w:top w:val="single" w:color="000000" w:sz="4" w:space="0"/>
              <w:left w:val="nil"/>
              <w:bottom w:val="single" w:color="000000" w:sz="4" w:space="0"/>
              <w:right w:val="single" w:color="000000" w:sz="4" w:space="0"/>
            </w:tcBorders>
            <w:vAlign w:val="center"/>
          </w:tcPr>
          <w:p>
            <w:pPr>
              <w:autoSpaceDE w:val="0"/>
              <w:autoSpaceDN w:val="0"/>
              <w:spacing w:before="157" w:line="220" w:lineRule="exact"/>
              <w:ind w:left="7" w:leftChars="0"/>
              <w:jc w:val="center"/>
              <w:rPr>
                <w:rFonts w:hint="eastAsia" w:ascii="Times New Roman" w:hAnsi="Times New Roman" w:eastAsia="仿宋" w:cstheme="minorBidi"/>
                <w:kern w:val="0"/>
                <w:sz w:val="24"/>
                <w:szCs w:val="24"/>
                <w:lang w:val="en-US" w:eastAsia="zh-CN" w:bidi="ar-SA"/>
              </w:rPr>
            </w:pPr>
            <w:r>
              <w:rPr>
                <w:rFonts w:hint="eastAsia" w:ascii="Times New Roman" w:hAnsi="Times New Roman" w:eastAsia="仿宋" w:cstheme="minorBidi"/>
                <w:kern w:val="0"/>
                <w:sz w:val="24"/>
                <w:szCs w:val="24"/>
                <w:lang w:val="en-US" w:eastAsia="zh-CN" w:bidi="ar-SA"/>
              </w:rPr>
              <w:t>高级农艺师</w:t>
            </w:r>
          </w:p>
        </w:tc>
        <w:tc>
          <w:tcPr>
            <w:tcW w:w="1320" w:type="dxa"/>
            <w:tcBorders>
              <w:top w:val="single" w:color="000000" w:sz="4" w:space="0"/>
              <w:left w:val="nil"/>
              <w:bottom w:val="single" w:color="000000" w:sz="4" w:space="0"/>
              <w:right w:val="single" w:color="000000" w:sz="4" w:space="0"/>
            </w:tcBorders>
            <w:vAlign w:val="center"/>
          </w:tcPr>
          <w:p>
            <w:pPr>
              <w:autoSpaceDE w:val="0"/>
              <w:autoSpaceDN w:val="0"/>
              <w:spacing w:before="157" w:line="220" w:lineRule="exact"/>
              <w:ind w:left="99" w:leftChars="0" w:right="90" w:rightChars="0"/>
              <w:jc w:val="center"/>
              <w:rPr>
                <w:rFonts w:ascii="Times New Roman" w:hAnsi="Times New Roman" w:eastAsia="仿宋" w:cstheme="minorBidi"/>
                <w:kern w:val="0"/>
                <w:sz w:val="24"/>
                <w:szCs w:val="24"/>
                <w:lang w:val="en-US" w:eastAsia="zh-CN" w:bidi="ar-SA"/>
              </w:rPr>
            </w:pPr>
            <w:r>
              <w:rPr>
                <w:rFonts w:hint="eastAsia" w:ascii="Times New Roman" w:hAnsi="Times New Roman" w:eastAsia="仿宋"/>
                <w:kern w:val="0"/>
                <w:sz w:val="24"/>
              </w:rPr>
              <w:t>农业</w:t>
            </w:r>
          </w:p>
        </w:tc>
        <w:tc>
          <w:tcPr>
            <w:tcW w:w="2825"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adjustRightInd/>
              <w:snapToGrid/>
              <w:spacing w:line="220" w:lineRule="exact"/>
              <w:ind w:left="210" w:right="198" w:firstLine="0"/>
              <w:jc w:val="center"/>
              <w:textAlignment w:val="auto"/>
              <w:rPr>
                <w:rFonts w:ascii="Times New Roman" w:hAnsi="Times New Roman" w:eastAsia="仿宋"/>
                <w:kern w:val="0"/>
                <w:sz w:val="24"/>
              </w:rPr>
            </w:pPr>
            <w:r>
              <w:rPr>
                <w:rFonts w:hint="eastAsia" w:ascii="Times New Roman" w:hAnsi="Times New Roman" w:eastAsia="仿宋"/>
                <w:kern w:val="0"/>
                <w:sz w:val="24"/>
                <w:lang w:eastAsia="zh-CN"/>
              </w:rPr>
              <w:t>自治区农业农村厅</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cs="黑体"/>
          <w:sz w:val="32"/>
          <w:szCs w:val="32"/>
        </w:rPr>
      </w:pPr>
      <w:r>
        <w:rPr>
          <w:rFonts w:hint="eastAsia" w:ascii="黑体" w:hAnsi="黑体" w:eastAsia="黑体" w:cs="黑体"/>
          <w:sz w:val="32"/>
          <w:szCs w:val="32"/>
        </w:rPr>
        <w:t>四、编制原则和依据，与</w:t>
      </w:r>
      <w:r>
        <w:rPr>
          <w:rFonts w:ascii="黑体" w:hAnsi="黑体" w:eastAsia="黑体" w:cs="黑体"/>
          <w:sz w:val="32"/>
          <w:szCs w:val="32"/>
        </w:rPr>
        <w:t>现行法律</w:t>
      </w:r>
      <w:r>
        <w:rPr>
          <w:rFonts w:hint="eastAsia" w:ascii="黑体" w:hAnsi="黑体" w:eastAsia="黑体" w:cs="黑体"/>
          <w:sz w:val="32"/>
          <w:szCs w:val="32"/>
        </w:rPr>
        <w:t>、</w:t>
      </w:r>
      <w:r>
        <w:rPr>
          <w:rFonts w:ascii="黑体" w:hAnsi="黑体" w:eastAsia="黑体" w:cs="黑体"/>
          <w:sz w:val="32"/>
          <w:szCs w:val="32"/>
        </w:rPr>
        <w:t>法规</w:t>
      </w:r>
      <w:r>
        <w:rPr>
          <w:rFonts w:hint="eastAsia" w:ascii="黑体" w:hAnsi="黑体" w:eastAsia="黑体" w:cs="黑体"/>
          <w:sz w:val="32"/>
          <w:szCs w:val="32"/>
        </w:rPr>
        <w:t>、</w:t>
      </w:r>
      <w:r>
        <w:rPr>
          <w:rFonts w:ascii="黑体" w:hAnsi="黑体" w:eastAsia="黑体" w:cs="黑体"/>
          <w:sz w:val="32"/>
          <w:szCs w:val="32"/>
        </w:rPr>
        <w:t>标准的</w:t>
      </w:r>
      <w:r>
        <w:rPr>
          <w:rFonts w:hint="eastAsia" w:ascii="黑体" w:hAnsi="黑体" w:eastAsia="黑体" w:cs="黑体"/>
          <w:sz w:val="32"/>
          <w:szCs w:val="32"/>
        </w:rPr>
        <w:t>关系</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（一）编制原则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1.以符合国家及地方相关法律、法规的规定为原则；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2.以符合已经颁布的国家及行业等相关标准为原则；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编写过程遵循GB/T 1.1-2020 标准化工作导则 第 1 部分：《标准的结构和编写》所规定的编写规则。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3.标准符合生产实际，内容准确，适应性广泛，可操作性强。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4.实用性原则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本标准的制定立足于宁夏</w:t>
      </w:r>
      <w:r>
        <w:rPr>
          <w:rFonts w:hint="eastAsia" w:ascii="Times New Roman" w:hAnsi="Times New Roman" w:eastAsia="仿宋_GB2312" w:cs="Times New Roman"/>
          <w:bCs/>
          <w:kern w:val="0"/>
          <w:sz w:val="32"/>
          <w:szCs w:val="32"/>
          <w:lang w:eastAsia="zh-CN"/>
        </w:rPr>
        <w:t>小麦套种大豆</w:t>
      </w:r>
      <w:r>
        <w:rPr>
          <w:rFonts w:ascii="Times New Roman" w:hAnsi="Times New Roman" w:eastAsia="仿宋_GB2312" w:cs="Times New Roman"/>
          <w:bCs/>
          <w:kern w:val="0"/>
          <w:sz w:val="32"/>
          <w:szCs w:val="32"/>
        </w:rPr>
        <w:t>病虫草害防控及技术指导，所制定的防控技术措施均适用于宁夏</w:t>
      </w:r>
      <w:r>
        <w:rPr>
          <w:rFonts w:hint="eastAsia" w:ascii="Times New Roman" w:hAnsi="Times New Roman" w:eastAsia="仿宋_GB2312" w:cs="Times New Roman"/>
          <w:bCs/>
          <w:kern w:val="0"/>
          <w:sz w:val="32"/>
          <w:szCs w:val="32"/>
          <w:lang w:eastAsia="zh-CN"/>
        </w:rPr>
        <w:t>小麦套种大豆</w:t>
      </w:r>
      <w:r>
        <w:rPr>
          <w:rFonts w:ascii="Times New Roman" w:hAnsi="Times New Roman" w:eastAsia="仿宋_GB2312" w:cs="Times New Roman"/>
          <w:bCs/>
          <w:kern w:val="0"/>
          <w:sz w:val="32"/>
          <w:szCs w:val="32"/>
        </w:rPr>
        <w:t>种植区，可有效控制我区</w:t>
      </w:r>
      <w:r>
        <w:rPr>
          <w:rFonts w:hint="eastAsia" w:ascii="Times New Roman" w:hAnsi="Times New Roman" w:eastAsia="仿宋_GB2312" w:cs="Times New Roman"/>
          <w:bCs/>
          <w:kern w:val="0"/>
          <w:sz w:val="32"/>
          <w:szCs w:val="32"/>
          <w:lang w:eastAsia="zh-CN"/>
        </w:rPr>
        <w:t>小麦</w:t>
      </w:r>
      <w:r>
        <w:rPr>
          <w:rFonts w:ascii="Times New Roman" w:hAnsi="Times New Roman" w:eastAsia="仿宋_GB2312" w:cs="Times New Roman"/>
          <w:bCs/>
          <w:kern w:val="0"/>
          <w:sz w:val="32"/>
          <w:szCs w:val="32"/>
        </w:rPr>
        <w:t>、</w:t>
      </w:r>
      <w:r>
        <w:rPr>
          <w:rFonts w:hint="eastAsia" w:ascii="Times New Roman" w:hAnsi="Times New Roman" w:eastAsia="仿宋_GB2312" w:cs="Times New Roman"/>
          <w:bCs/>
          <w:kern w:val="0"/>
          <w:sz w:val="32"/>
          <w:szCs w:val="32"/>
          <w:lang w:eastAsia="zh-CN"/>
        </w:rPr>
        <w:t>大豆</w:t>
      </w:r>
      <w:r>
        <w:rPr>
          <w:rFonts w:ascii="Times New Roman" w:hAnsi="Times New Roman" w:eastAsia="仿宋_GB2312" w:cs="Times New Roman"/>
          <w:bCs/>
          <w:kern w:val="0"/>
          <w:sz w:val="32"/>
          <w:szCs w:val="32"/>
        </w:rPr>
        <w:t>病虫草害的发生，确保粮食安全生产。</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5.生态安全原则</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bCs/>
          <w:kern w:val="0"/>
          <w:sz w:val="32"/>
          <w:szCs w:val="32"/>
        </w:rPr>
      </w:pPr>
      <w:r>
        <w:rPr>
          <w:rFonts w:ascii="Times New Roman" w:hAnsi="Times New Roman" w:eastAsia="仿宋_GB2312" w:cs="Times New Roman"/>
          <w:bCs/>
          <w:kern w:val="0"/>
          <w:sz w:val="32"/>
          <w:szCs w:val="32"/>
        </w:rPr>
        <w:t>本标准依据</w:t>
      </w:r>
      <w:r>
        <w:rPr>
          <w:rFonts w:hint="eastAsia" w:ascii="Times New Roman" w:hAnsi="Times New Roman" w:eastAsia="仿宋_GB2312" w:cs="Times New Roman"/>
          <w:bCs/>
          <w:kern w:val="0"/>
          <w:sz w:val="32"/>
          <w:szCs w:val="32"/>
          <w:lang w:eastAsia="zh-CN"/>
        </w:rPr>
        <w:t>小麦</w:t>
      </w:r>
      <w:r>
        <w:rPr>
          <w:rFonts w:ascii="Times New Roman" w:hAnsi="Times New Roman" w:eastAsia="仿宋_GB2312" w:cs="Times New Roman"/>
          <w:bCs/>
          <w:kern w:val="0"/>
          <w:sz w:val="32"/>
          <w:szCs w:val="32"/>
        </w:rPr>
        <w:t>、</w:t>
      </w:r>
      <w:r>
        <w:rPr>
          <w:rFonts w:hint="eastAsia" w:ascii="Times New Roman" w:hAnsi="Times New Roman" w:eastAsia="仿宋_GB2312" w:cs="Times New Roman"/>
          <w:bCs/>
          <w:kern w:val="0"/>
          <w:sz w:val="32"/>
          <w:szCs w:val="32"/>
          <w:lang w:eastAsia="zh-CN"/>
        </w:rPr>
        <w:t>大豆</w:t>
      </w:r>
      <w:r>
        <w:rPr>
          <w:rFonts w:ascii="Times New Roman" w:hAnsi="Times New Roman" w:eastAsia="仿宋_GB2312" w:cs="Times New Roman"/>
          <w:bCs/>
          <w:kern w:val="0"/>
          <w:sz w:val="32"/>
          <w:szCs w:val="32"/>
        </w:rPr>
        <w:t>生育期和主要病虫草害的发生危害期制定相应的防治技术措施，指导种植</w:t>
      </w:r>
      <w:r>
        <w:rPr>
          <w:rFonts w:hint="eastAsia" w:ascii="Times New Roman" w:hAnsi="Times New Roman" w:eastAsia="仿宋_GB2312" w:cs="Times New Roman"/>
          <w:bCs/>
          <w:kern w:val="0"/>
          <w:sz w:val="32"/>
          <w:szCs w:val="32"/>
          <w:lang w:eastAsia="zh-CN"/>
        </w:rPr>
        <w:t>主体</w:t>
      </w:r>
      <w:r>
        <w:rPr>
          <w:rFonts w:ascii="Times New Roman" w:hAnsi="Times New Roman" w:eastAsia="仿宋_GB2312" w:cs="Times New Roman"/>
          <w:bCs/>
          <w:kern w:val="0"/>
          <w:sz w:val="32"/>
          <w:szCs w:val="32"/>
        </w:rPr>
        <w:t>科学</w:t>
      </w:r>
      <w:r>
        <w:rPr>
          <w:rFonts w:hint="eastAsia" w:ascii="Times New Roman" w:hAnsi="Times New Roman" w:eastAsia="仿宋_GB2312" w:cs="Times New Roman"/>
          <w:bCs/>
          <w:kern w:val="0"/>
          <w:sz w:val="32"/>
          <w:szCs w:val="32"/>
          <w:lang w:eastAsia="zh-CN"/>
        </w:rPr>
        <w:t>开展</w:t>
      </w:r>
      <w:r>
        <w:rPr>
          <w:rFonts w:ascii="Times New Roman" w:hAnsi="Times New Roman" w:eastAsia="仿宋_GB2312" w:cs="Times New Roman"/>
          <w:bCs/>
          <w:kern w:val="0"/>
          <w:sz w:val="32"/>
          <w:szCs w:val="32"/>
        </w:rPr>
        <w:t>病虫草害防控，安全使用高效、低毒、低残留农药，杜绝农药残留超标，提升粮食品质，提高粮食产能。</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（二）编制依据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1.《中华人民共和国生物安全法》；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2.《农作物病虫害防治条例》；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Times New Roman" w:hAnsi="Times New Roman" w:eastAsia="仿宋_GB2312" w:cs="仿宋_GB2312"/>
          <w:bCs/>
          <w:kern w:val="0"/>
          <w:sz w:val="32"/>
          <w:szCs w:val="32"/>
        </w:rPr>
        <w:t>3.《农作物病虫害监测与预报管理办法》</w:t>
      </w:r>
      <w:r>
        <w:rPr>
          <w:rFonts w:hint="eastAsia" w:eastAsia="仿宋_GB2312" w:cs="仿宋_GB2312"/>
          <w:bCs/>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（三）与现行法律法规、标准的关系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eastAsia="仿宋_GB2312" w:cs="仿宋_GB2312"/>
          <w:bCs/>
          <w:kern w:val="0"/>
          <w:sz w:val="32"/>
          <w:szCs w:val="32"/>
          <w:lang w:eastAsia="zh-CN"/>
        </w:rPr>
        <w:t>经检索，暂无相关国家标准、行业标准和地方标准；</w:t>
      </w:r>
      <w:r>
        <w:rPr>
          <w:rFonts w:hint="eastAsia" w:eastAsia="仿宋_GB2312" w:cs="仿宋_GB2312"/>
          <w:bCs/>
          <w:kern w:val="0"/>
          <w:sz w:val="32"/>
          <w:szCs w:val="32"/>
        </w:rPr>
        <w:t>本标准符合现行法律、法规、标准要求，具备协调一致性，无冲突。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黑体" w:hAnsi="黑体" w:eastAsia="黑体" w:cs="黑体"/>
          <w:color w:val="000000" w:themeColor="text1"/>
          <w:sz w:val="32"/>
          <w:szCs w:val="32"/>
          <w14:textFill>
            <w14:solidFill>
              <w14:schemeClr w14:val="tx1"/>
            </w14:solidFill>
          </w14:textFill>
        </w:rPr>
        <w:t>五、</w:t>
      </w:r>
      <w:r>
        <w:rPr>
          <w:rFonts w:ascii="黑体" w:hAnsi="黑体" w:eastAsia="黑体" w:cs="黑体"/>
          <w:color w:val="000000" w:themeColor="text1"/>
          <w:sz w:val="32"/>
          <w:szCs w:val="32"/>
          <w14:textFill>
            <w14:solidFill>
              <w14:schemeClr w14:val="tx1"/>
            </w14:solidFill>
          </w14:textFill>
        </w:rPr>
        <w:t>主要条款的说明</w:t>
      </w:r>
      <w:r>
        <w:rPr>
          <w:rFonts w:hint="eastAsia" w:ascii="黑体" w:hAnsi="黑体" w:eastAsia="黑体" w:cs="黑体"/>
          <w:color w:val="000000" w:themeColor="text1"/>
          <w:sz w:val="32"/>
          <w:szCs w:val="32"/>
          <w14:textFill>
            <w14:solidFill>
              <w14:schemeClr w14:val="tx1"/>
            </w14:solidFill>
          </w14:textFill>
        </w:rPr>
        <w:t>，主要</w:t>
      </w:r>
      <w:r>
        <w:rPr>
          <w:rFonts w:ascii="黑体" w:hAnsi="黑体" w:eastAsia="黑体" w:cs="黑体"/>
          <w:color w:val="000000" w:themeColor="text1"/>
          <w:sz w:val="32"/>
          <w:szCs w:val="32"/>
          <w14:textFill>
            <w14:solidFill>
              <w14:schemeClr w14:val="tx1"/>
            </w14:solidFill>
          </w14:textFill>
        </w:rPr>
        <w:t>技术指标、参数、实验验证的</w:t>
      </w:r>
      <w:r>
        <w:rPr>
          <w:rFonts w:hint="eastAsia" w:ascii="黑体" w:hAnsi="黑体" w:eastAsia="黑体" w:cs="黑体"/>
          <w:color w:val="000000" w:themeColor="text1"/>
          <w:sz w:val="32"/>
          <w:szCs w:val="32"/>
          <w14:textFill>
            <w14:solidFill>
              <w14:schemeClr w14:val="tx1"/>
            </w14:solidFill>
          </w14:textFill>
        </w:rPr>
        <w:t>论述</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（一）主要条款说明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地方标准的规范</w:t>
      </w:r>
      <w:r>
        <w:rPr>
          <w:rFonts w:hint="eastAsia" w:ascii="仿宋_GB2312" w:hAnsi="仿宋_GB2312" w:eastAsia="仿宋_GB2312" w:cs="仿宋_GB2312"/>
          <w:sz w:val="32"/>
          <w:szCs w:val="32"/>
        </w:rPr>
        <w:t>格式，《小麦套种大豆病虫草害防控技术规程》内容包括范围、规范性引用文件、术语与定义、防治对象、杂草防控技术、病虫害防控技术、化学控旺、</w:t>
      </w:r>
      <w:r>
        <w:rPr>
          <w:rFonts w:hint="eastAsia" w:ascii="仿宋_GB2312" w:hAnsi="仿宋_GB2312" w:eastAsia="仿宋_GB2312" w:cs="仿宋_GB2312"/>
          <w:sz w:val="32"/>
          <w:szCs w:val="32"/>
          <w:lang w:eastAsia="zh-CN"/>
        </w:rPr>
        <w:t>高效施药技术、农药包装废弃物回收处理、人员安全防护、</w:t>
      </w:r>
      <w:r>
        <w:rPr>
          <w:rFonts w:hint="eastAsia" w:ascii="仿宋_GB2312" w:hAnsi="仿宋_GB2312" w:eastAsia="仿宋_GB2312" w:cs="仿宋_GB2312"/>
          <w:sz w:val="32"/>
          <w:szCs w:val="32"/>
        </w:rPr>
        <w:t>附录、参考文献共1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部分。明确了</w:t>
      </w:r>
      <w:r>
        <w:rPr>
          <w:rFonts w:hint="eastAsia" w:ascii="仿宋_GB2312" w:hAnsi="仿宋_GB2312" w:eastAsia="仿宋_GB2312" w:cs="仿宋_GB2312"/>
          <w:sz w:val="32"/>
          <w:szCs w:val="32"/>
          <w:lang w:eastAsia="zh-CN"/>
        </w:rPr>
        <w:t>小麦套种大豆</w:t>
      </w:r>
      <w:r>
        <w:rPr>
          <w:rFonts w:hint="eastAsia" w:ascii="仿宋_GB2312" w:hAnsi="仿宋_GB2312" w:eastAsia="仿宋_GB2312" w:cs="仿宋_GB2312"/>
          <w:sz w:val="32"/>
          <w:szCs w:val="32"/>
        </w:rPr>
        <w:t>病虫草害防控原则和防治对象，制定了病虫草害</w:t>
      </w:r>
      <w:r>
        <w:rPr>
          <w:rFonts w:hint="eastAsia" w:ascii="仿宋_GB2312" w:hAnsi="仿宋_GB2312" w:eastAsia="仿宋_GB2312" w:cs="仿宋_GB2312"/>
          <w:sz w:val="32"/>
          <w:szCs w:val="32"/>
          <w:lang w:eastAsia="zh-CN"/>
        </w:rPr>
        <w:t>科学高效</w:t>
      </w:r>
      <w:r>
        <w:rPr>
          <w:rFonts w:hint="eastAsia" w:ascii="仿宋_GB2312" w:hAnsi="仿宋_GB2312" w:eastAsia="仿宋_GB2312" w:cs="仿宋_GB2312"/>
          <w:sz w:val="32"/>
          <w:szCs w:val="32"/>
        </w:rPr>
        <w:t>防控技术。</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（1）主要病害。</w:t>
      </w:r>
      <w:r>
        <w:rPr>
          <w:rFonts w:hint="eastAsia" w:ascii="Times New Roman" w:hAnsi="Times New Roman" w:eastAsia="仿宋_GB2312" w:cs="Times New Roman"/>
          <w:sz w:val="32"/>
          <w:szCs w:val="32"/>
        </w:rPr>
        <w:t>小麦条锈病、白粉病、茎基腐病、大豆根腐病、立枯病、病毒病、霜霉病等。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（2）主要虫害。</w:t>
      </w:r>
      <w:r>
        <w:rPr>
          <w:rFonts w:hint="eastAsia" w:ascii="Times New Roman" w:hAnsi="Times New Roman" w:eastAsia="仿宋_GB2312" w:cs="Times New Roman"/>
          <w:sz w:val="32"/>
          <w:szCs w:val="32"/>
          <w:lang w:eastAsia="zh-CN"/>
        </w:rPr>
        <w:t>小麦蚜虫、</w:t>
      </w:r>
      <w:r>
        <w:rPr>
          <w:rFonts w:hint="eastAsia" w:ascii="Times New Roman" w:hAnsi="Times New Roman" w:eastAsia="仿宋_GB2312" w:cs="Times New Roman"/>
          <w:sz w:val="32"/>
          <w:szCs w:val="32"/>
        </w:rPr>
        <w:t>吸浆虫、麦蜘蛛、粘虫、棉铃虫、大豆蚜虫、大豆食心虫、点蜂缘蝽、双斑萤叶甲以及地下害虫等。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（3）主要杂草。</w:t>
      </w:r>
      <w:r>
        <w:rPr>
          <w:rFonts w:hint="eastAsia" w:ascii="Times New Roman" w:hAnsi="Times New Roman" w:eastAsia="仿宋_GB2312" w:cs="Times New Roman"/>
          <w:sz w:val="32"/>
          <w:szCs w:val="32"/>
        </w:rPr>
        <w:t>稗草、狗尾草、马唐、牛筋草等为主的禾本科杂草，以反枝苋、藜、打碗花、萹蓄、独行菜、田旋花、灰绿藜、苍耳、苣荬菜、刺儿菜、卷茎蓼等为主的阔叶杂草。</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（4）土壤封闭技术。</w:t>
      </w:r>
      <w:r>
        <w:rPr>
          <w:rFonts w:hint="eastAsia" w:ascii="Times New Roman" w:hAnsi="Times New Roman" w:eastAsia="仿宋_GB2312" w:cs="Times New Roman"/>
          <w:sz w:val="32"/>
          <w:szCs w:val="32"/>
        </w:rPr>
        <w:t>小麦播种前采取“全田喷施封闭药剂+浅混土措施”。选用20%噻吩磺隆可湿性粉剂10 g/667 m</w:t>
      </w:r>
      <w:r>
        <w:rPr>
          <w:rFonts w:hint="eastAsia"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；或40%砜吡草唑悬浮剂25 mL/667 m</w:t>
      </w:r>
      <w:r>
        <w:rPr>
          <w:rFonts w:hint="eastAsia"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～30 mL/667 m</w:t>
      </w:r>
      <w:r>
        <w:rPr>
          <w:rFonts w:hint="eastAsia"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；或80%唑嘧磺草胺水分散粒剂5 g/667 m</w:t>
      </w:r>
      <w:r>
        <w:rPr>
          <w:rFonts w:hint="eastAsia"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，进行土壤喷雾。后采用旋耕机将药剂与土壤均匀混合，深度4 cm～ 6cm，然后镇压。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（5）苗后除草技术</w:t>
      </w:r>
      <w:r>
        <w:rPr>
          <w:rFonts w:hint="eastAsia" w:ascii="Times New Roman" w:hAnsi="Times New Roman" w:eastAsia="仿宋_GB2312" w:cs="Times New Roman"/>
          <w:sz w:val="32"/>
          <w:szCs w:val="32"/>
          <w:lang w:eastAsia="zh-CN"/>
        </w:rPr>
        <w:t>。当封闭除草效果不理想时，在小麦3-5叶期、大豆出苗前，选用900 g/L2，4-滴异辛酯乳油45 ml/667m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+10%苯磺隆可湿性粉剂11 g/667m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，或69 g/L精噁唑禾草灵水乳剂60 ml/667m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+10%苯磺隆可湿性粉剂11 g/667m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，全田喷雾。大豆出苗后，大豆带杂草仍然较多时，在大豆2～3片复叶期，采用隔离定向喷雾的方式除大豆田杂草。可选用108 g/L高效氟吡甲禾灵乳油40 ml/667m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+480 g/L 灭草松水剂180 ml/667m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+250 g/L氟磺胺草醚水剂90 ml/667m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，或240 g/L烯草酮乳油30 ml/667m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+250g/L氟磺胺草醚水剂90 ml/667m</w:t>
      </w:r>
      <w:r>
        <w:rPr>
          <w:rFonts w:hint="eastAsia" w:ascii="Times New Roman" w:hAnsi="Times New Roman" w:eastAsia="仿宋_GB2312" w:cs="Times New Roman"/>
          <w:sz w:val="32"/>
          <w:szCs w:val="32"/>
          <w:vertAlign w:val="superscript"/>
          <w:lang w:eastAsia="zh-CN"/>
        </w:rPr>
        <w:t>2</w:t>
      </w:r>
      <w:r>
        <w:rPr>
          <w:rFonts w:hint="eastAsia" w:ascii="Times New Roman" w:hAnsi="Times New Roman" w:eastAsia="仿宋_GB2312" w:cs="Times New Roman"/>
          <w:sz w:val="32"/>
          <w:szCs w:val="32"/>
          <w:lang w:eastAsia="zh-CN"/>
        </w:rPr>
        <w:t>。无风或微风‌（风速＜3级）时作业，避免药液飘移。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6</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病虫</w:t>
      </w:r>
      <w:r>
        <w:rPr>
          <w:rFonts w:ascii="Times New Roman" w:hAnsi="Times New Roman" w:eastAsia="仿宋_GB2312" w:cs="Times New Roman"/>
          <w:sz w:val="32"/>
          <w:szCs w:val="32"/>
        </w:rPr>
        <w:t>监测预报技术。</w:t>
      </w:r>
      <w:r>
        <w:rPr>
          <w:rFonts w:hint="eastAsia" w:ascii="Times New Roman" w:hAnsi="Times New Roman" w:eastAsia="仿宋_GB2312" w:cs="Times New Roman"/>
          <w:sz w:val="32"/>
          <w:szCs w:val="32"/>
        </w:rPr>
        <w:t>在小麦套种大豆种植田建立病虫害系统监测点，按照病虫调查规范，对测报对象开展定点系统调查，及时掌握病虫害发生动态，准确判断防治适期</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7</w:t>
      </w:r>
      <w:r>
        <w:rPr>
          <w:rFonts w:ascii="Times New Roman" w:hAnsi="Times New Roman" w:eastAsia="仿宋_GB2312" w:cs="Times New Roman"/>
          <w:sz w:val="32"/>
          <w:szCs w:val="32"/>
        </w:rPr>
        <w:t>）种子处理技术。</w:t>
      </w:r>
      <w:r>
        <w:rPr>
          <w:rFonts w:hint="eastAsia" w:ascii="Times New Roman" w:hAnsi="Times New Roman" w:eastAsia="仿宋_GB2312" w:cs="Times New Roman"/>
          <w:sz w:val="32"/>
          <w:szCs w:val="32"/>
        </w:rPr>
        <w:t>每100 kg小麦种子选用200 g/L三氟吡啶胺种子处理悬浮剂150 mL～300 mL</w:t>
      </w:r>
      <w:r>
        <w:rPr>
          <w:rFonts w:hint="eastAsia" w:ascii="Times New Roman" w:hAnsi="Times New Roman" w:eastAsia="仿宋_GB2312" w:cs="Times New Roman"/>
          <w:sz w:val="32"/>
          <w:szCs w:val="32"/>
          <w:lang w:val="en-US" w:eastAsia="zh-CN"/>
        </w:rPr>
        <w:t>+30%噻虫嗪种子处理悬浮剂</w:t>
      </w:r>
      <w:r>
        <w:rPr>
          <w:rFonts w:hint="eastAsia" w:ascii="Times New Roman" w:hAnsi="Times New Roman" w:eastAsia="仿宋_GB2312" w:cs="Times New Roman"/>
          <w:sz w:val="32"/>
          <w:szCs w:val="32"/>
        </w:rPr>
        <w:t>或13%苯醚·咯·噻虫悬浮种衣剂800 mL～1400 mL进行拌种，预防小麦条锈病、小麦白粉病、小麦茎基腐病、小麦蚜虫、地下害虫等。每100 kg大豆种子选用62.5 g/L精甲·咯菌腈种子处理悬浮剂300 mL～400 mL包衣，或11%氟环·咯·精甲种子处理悬浮剂200 mL～400 mL拌种预防大豆根腐病、疫病，或25%噻虫·咯·霜灵种子处理悬浮剂600 mL～800 mL拌种预防大豆根腐病、蚜虫。</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理化诱控</w:t>
      </w:r>
      <w:r>
        <w:rPr>
          <w:rFonts w:ascii="Times New Roman" w:hAnsi="Times New Roman" w:eastAsia="仿宋_GB2312" w:cs="Times New Roman"/>
          <w:sz w:val="32"/>
          <w:szCs w:val="32"/>
        </w:rPr>
        <w:t>技术。</w:t>
      </w:r>
      <w:r>
        <w:rPr>
          <w:rFonts w:hint="eastAsia" w:ascii="Times New Roman" w:hAnsi="Times New Roman" w:eastAsia="仿宋_GB2312" w:cs="Times New Roman"/>
          <w:sz w:val="32"/>
          <w:szCs w:val="32"/>
          <w:lang w:eastAsia="zh-CN"/>
        </w:rPr>
        <w:t>采用灯诱和性诱的方式诱杀成虫。</w:t>
      </w:r>
      <w:r>
        <w:rPr>
          <w:rFonts w:hint="eastAsia" w:ascii="Times New Roman" w:hAnsi="Times New Roman" w:eastAsia="仿宋_GB2312" w:cs="Times New Roman"/>
          <w:sz w:val="32"/>
          <w:szCs w:val="32"/>
        </w:rPr>
        <w:t>2 hm</w:t>
      </w:r>
      <w:r>
        <w:rPr>
          <w:rFonts w:hint="eastAsia"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～3 hm</w:t>
      </w:r>
      <w:r>
        <w:rPr>
          <w:rFonts w:hint="eastAsia"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安装一盏杀虫灯</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悬挂高度以</w:t>
      </w:r>
      <w:r>
        <w:rPr>
          <w:rFonts w:hint="eastAsia" w:ascii="Times New Roman" w:hAnsi="Times New Roman" w:eastAsia="仿宋_GB2312" w:cs="Times New Roman"/>
          <w:sz w:val="32"/>
          <w:szCs w:val="32"/>
          <w:lang w:eastAsia="zh-CN"/>
        </w:rPr>
        <w:t>光源</w:t>
      </w:r>
      <w:r>
        <w:rPr>
          <w:rFonts w:hint="eastAsia" w:ascii="Times New Roman" w:hAnsi="Times New Roman" w:eastAsia="仿宋_GB2312" w:cs="Times New Roman"/>
          <w:sz w:val="32"/>
          <w:szCs w:val="32"/>
        </w:rPr>
        <w:t>距地面1.5 m为宜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5月至9月，晚6时至早6时开灯诱虫</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每667m</w:t>
      </w:r>
      <w:r>
        <w:rPr>
          <w:rFonts w:hint="eastAsia"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安装</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套～</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套性诱捕器，下沿高于植物顶部1 cm～5 cm，每套诱捕器安装一枚昆虫性信息素诱芯，可诱杀棉铃虫、粘虫、小地老虎等害虫。根据使用期限及时更换诱芯，并及时处理诱捕的成虫。</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9</w:t>
      </w:r>
      <w:r>
        <w:rPr>
          <w:rFonts w:ascii="Times New Roman" w:hAnsi="Times New Roman" w:eastAsia="仿宋_GB2312" w:cs="Times New Roman"/>
          <w:sz w:val="32"/>
          <w:szCs w:val="32"/>
        </w:rPr>
        <w:t>）生物防治技术。选用苏云金杆菌、棉铃虫核多角体病毒、球孢白僵菌、绿僵菌等生物农药控制种群数量。</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）科学用药技术。依据病虫监测情况，根据防治指标和防治适期可精量使用高效低毒、低残留化学农药，开展化学防治。</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）化学控旺技术。</w:t>
      </w:r>
      <w:r>
        <w:rPr>
          <w:rFonts w:hint="eastAsia" w:ascii="Times New Roman" w:hAnsi="Times New Roman" w:eastAsia="仿宋_GB2312" w:cs="Times New Roman"/>
          <w:sz w:val="32"/>
          <w:szCs w:val="32"/>
        </w:rPr>
        <w:t>于大豆分枝期、盛花期，亩用5%烯效唑可湿性粉剂25 g～50 g，兑水30 kg，各进行1次化学控旺。可结合防病防虫、喷施植物生长调节剂（叶面肥）进行。</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Times New Roman" w:hAnsi="Times New Roman" w:eastAsia="楷体_GB2312" w:cs="楷体_GB2312"/>
          <w:b/>
          <w:bCs/>
          <w:sz w:val="32"/>
          <w:szCs w:val="32"/>
        </w:rPr>
      </w:pPr>
      <w:r>
        <w:rPr>
          <w:rFonts w:hint="eastAsia" w:ascii="Times New Roman" w:hAnsi="Times New Roman" w:eastAsia="楷体_GB2312" w:cs="楷体_GB2312"/>
          <w:b/>
          <w:bCs/>
          <w:sz w:val="32"/>
          <w:szCs w:val="32"/>
        </w:rPr>
        <w:t xml:space="preserve">（二）主要技术指标、参数、试验验证的论述 </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仿宋_GB2312" w:hAnsi="宋体" w:eastAsia="仿宋_GB2312"/>
          <w:b/>
          <w:bCs/>
          <w:sz w:val="32"/>
          <w:szCs w:val="32"/>
        </w:rPr>
      </w:pPr>
      <w:r>
        <w:rPr>
          <w:rFonts w:ascii="Times New Roman" w:hAnsi="Times New Roman" w:eastAsia="仿宋_GB2312" w:cs="Times New Roman"/>
          <w:b/>
          <w:bCs/>
          <w:sz w:val="32"/>
          <w:szCs w:val="32"/>
        </w:rPr>
        <w:t>1.</w:t>
      </w:r>
      <w:r>
        <w:rPr>
          <w:rFonts w:hint="eastAsia" w:ascii="Times New Roman" w:hAnsi="Times New Roman" w:eastAsia="仿宋_GB2312" w:cs="Times New Roman"/>
          <w:b/>
          <w:bCs/>
          <w:sz w:val="32"/>
          <w:szCs w:val="32"/>
          <w:lang w:eastAsia="zh-CN"/>
        </w:rPr>
        <w:t>小麦套种大豆田除草剂筛选试验</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1.1 试验设计</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cs="宋体"/>
          <w:sz w:val="28"/>
          <w:szCs w:val="28"/>
        </w:rPr>
      </w:pPr>
      <w:r>
        <w:rPr>
          <w:rFonts w:hint="eastAsia" w:ascii="Times New Roman" w:hAnsi="Times New Roman" w:eastAsia="仿宋_GB2312" w:cs="Times New Roman"/>
          <w:sz w:val="32"/>
          <w:szCs w:val="32"/>
          <w:lang w:val="en-US" w:eastAsia="zh-CN"/>
        </w:rPr>
        <w:t>2023-2024年，组织开展小麦套种大豆田除草剂筛选试验。试验田采用种肥一体式条播机进行播种，小麦播深3</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5cm，大豆</w:t>
      </w:r>
      <w:r>
        <w:rPr>
          <w:rFonts w:hint="eastAsia" w:ascii="Times New Roman" w:hAnsi="Times New Roman" w:eastAsia="仿宋_GB2312" w:cs="Times New Roman"/>
          <w:sz w:val="32"/>
          <w:szCs w:val="32"/>
          <w:lang w:eastAsia="zh-CN"/>
        </w:rPr>
        <w:t>播深3～4</w:t>
      </w:r>
      <w:r>
        <w:rPr>
          <w:rFonts w:hint="eastAsia" w:ascii="Times New Roman" w:hAnsi="Times New Roman" w:eastAsia="仿宋_GB2312" w:cs="Times New Roman"/>
          <w:sz w:val="32"/>
          <w:szCs w:val="32"/>
          <w:lang w:val="en-US" w:eastAsia="zh-CN"/>
        </w:rPr>
        <w:t>cm；播种前基施</w:t>
      </w:r>
      <w:r>
        <w:rPr>
          <w:rFonts w:hint="eastAsia" w:ascii="Times New Roman" w:hAnsi="Times New Roman" w:eastAsia="仿宋_GB2312" w:cs="Times New Roman"/>
          <w:sz w:val="32"/>
          <w:szCs w:val="32"/>
        </w:rPr>
        <w:t>有机肥</w:t>
      </w:r>
      <w:r>
        <w:rPr>
          <w:rFonts w:hint="eastAsia" w:ascii="Times New Roman" w:hAnsi="Times New Roman" w:eastAsia="仿宋_GB2312" w:cs="Times New Roman"/>
          <w:sz w:val="32"/>
          <w:szCs w:val="32"/>
          <w:lang w:val="en-US" w:eastAsia="zh-CN"/>
        </w:rPr>
        <w:t>2250</w:t>
      </w:r>
      <w:r>
        <w:rPr>
          <w:rFonts w:hint="eastAsia" w:ascii="Times New Roman" w:hAnsi="Times New Roman" w:eastAsia="仿宋_GB2312" w:cs="Times New Roman"/>
          <w:sz w:val="32"/>
          <w:szCs w:val="32"/>
        </w:rPr>
        <w:t>kg·</w:t>
      </w:r>
      <w:r>
        <w:rPr>
          <w:rFonts w:ascii="Times New Roman" w:hAnsi="Times New Roman" w:eastAsia="仿宋_GB2312" w:cs="Times New Roman"/>
          <w:sz w:val="32"/>
          <w:szCs w:val="32"/>
        </w:rPr>
        <w:t>hm</w:t>
      </w:r>
      <w:r>
        <w:rPr>
          <w:rFonts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lang w:eastAsia="zh-CN"/>
        </w:rPr>
        <w:t>作为底肥，种肥同播</w:t>
      </w:r>
      <w:r>
        <w:rPr>
          <w:rFonts w:hint="eastAsia" w:ascii="Times New Roman" w:hAnsi="Times New Roman" w:eastAsia="仿宋_GB2312" w:cs="Times New Roman"/>
          <w:sz w:val="32"/>
          <w:szCs w:val="32"/>
        </w:rPr>
        <w:t>47%配方肥（30-11-6）</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50kg·</w:t>
      </w:r>
      <w:r>
        <w:rPr>
          <w:rFonts w:ascii="Times New Roman" w:hAnsi="Times New Roman" w:eastAsia="仿宋_GB2312" w:cs="Times New Roman"/>
          <w:sz w:val="32"/>
          <w:szCs w:val="32"/>
        </w:rPr>
        <w:t>hm</w:t>
      </w:r>
      <w:r>
        <w:rPr>
          <w:rFonts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rPr>
        <w:t>+磷酸二铵</w:t>
      </w:r>
      <w:r>
        <w:rPr>
          <w:rFonts w:hint="eastAsia" w:ascii="Times New Roman" w:hAnsi="Times New Roman" w:eastAsia="仿宋_GB2312" w:cs="Times New Roman"/>
          <w:sz w:val="32"/>
          <w:szCs w:val="32"/>
          <w:lang w:val="en-US" w:eastAsia="zh-CN"/>
        </w:rPr>
        <w:t>7</w:t>
      </w:r>
      <w:r>
        <w:rPr>
          <w:rFonts w:hint="eastAsia" w:ascii="Times New Roman" w:hAnsi="Times New Roman" w:eastAsia="仿宋_GB2312" w:cs="Times New Roman"/>
          <w:sz w:val="32"/>
          <w:szCs w:val="32"/>
        </w:rPr>
        <w:t>5kg·</w:t>
      </w:r>
      <w:r>
        <w:rPr>
          <w:rFonts w:ascii="Times New Roman" w:hAnsi="Times New Roman" w:eastAsia="仿宋_GB2312" w:cs="Times New Roman"/>
          <w:sz w:val="32"/>
          <w:szCs w:val="32"/>
        </w:rPr>
        <w:t>hm</w:t>
      </w:r>
      <w:r>
        <w:rPr>
          <w:rFonts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灌头水在小麦带内追施尿素</w:t>
      </w:r>
      <w:r>
        <w:rPr>
          <w:rFonts w:hint="eastAsia" w:ascii="Times New Roman" w:hAnsi="Times New Roman" w:eastAsia="仿宋_GB2312" w:cs="Times New Roman"/>
          <w:sz w:val="32"/>
          <w:szCs w:val="32"/>
          <w:lang w:val="en-US" w:eastAsia="zh-CN"/>
        </w:rPr>
        <w:t>105</w:t>
      </w:r>
      <w:r>
        <w:rPr>
          <w:rFonts w:hint="eastAsia" w:ascii="Times New Roman" w:hAnsi="Times New Roman" w:eastAsia="仿宋_GB2312" w:cs="Times New Roman"/>
          <w:sz w:val="32"/>
          <w:szCs w:val="32"/>
        </w:rPr>
        <w:t>kg·</w:t>
      </w:r>
      <w:r>
        <w:rPr>
          <w:rFonts w:ascii="Times New Roman" w:hAnsi="Times New Roman" w:eastAsia="仿宋_GB2312" w:cs="Times New Roman"/>
          <w:sz w:val="32"/>
          <w:szCs w:val="32"/>
        </w:rPr>
        <w:t>hm</w:t>
      </w:r>
      <w:r>
        <w:rPr>
          <w:rFonts w:ascii="Times New Roman" w:hAnsi="Times New Roman" w:eastAsia="仿宋_GB2312" w:cs="Times New Roman"/>
          <w:sz w:val="32"/>
          <w:szCs w:val="32"/>
          <w:vertAlign w:val="superscript"/>
        </w:rPr>
        <w:t>-2</w:t>
      </w:r>
      <w:r>
        <w:rPr>
          <w:rFonts w:hint="eastAsia" w:ascii="Times New Roman" w:hAnsi="Times New Roman" w:eastAsia="仿宋_GB2312" w:cs="Times New Roman"/>
          <w:sz w:val="32"/>
          <w:szCs w:val="32"/>
          <w:lang w:eastAsia="zh-CN"/>
        </w:rPr>
        <w:t>；试验田</w:t>
      </w:r>
      <w:r>
        <w:rPr>
          <w:rFonts w:hint="eastAsia" w:ascii="Times New Roman" w:hAnsi="Times New Roman" w:eastAsia="仿宋_GB2312" w:cs="Times New Roman"/>
          <w:sz w:val="32"/>
          <w:szCs w:val="32"/>
        </w:rPr>
        <w:t>全生育期灌水3次，4月25日完成</w:t>
      </w:r>
      <w:r>
        <w:rPr>
          <w:rFonts w:hint="eastAsia" w:ascii="Times New Roman" w:hAnsi="Times New Roman" w:eastAsia="仿宋_GB2312" w:cs="Times New Roman"/>
          <w:sz w:val="32"/>
          <w:szCs w:val="32"/>
          <w:lang w:eastAsia="zh-CN"/>
        </w:rPr>
        <w:t>头</w:t>
      </w:r>
      <w:r>
        <w:rPr>
          <w:rFonts w:hint="eastAsia" w:ascii="Times New Roman" w:hAnsi="Times New Roman" w:eastAsia="仿宋_GB2312" w:cs="Times New Roman"/>
          <w:sz w:val="32"/>
          <w:szCs w:val="32"/>
        </w:rPr>
        <w:t>水灌溉</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5月10日完成二水灌溉，小麦抽穗前灌溉三水</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各处理间药剂喷施均采用背负式喷雾器人工施药，以减小药液漂移造成的试验误差，</w:t>
      </w:r>
      <w:r>
        <w:rPr>
          <w:rFonts w:ascii="Times New Roman" w:hAnsi="Times New Roman" w:eastAsia="仿宋_GB2312" w:cs="Times New Roman"/>
          <w:sz w:val="32"/>
          <w:szCs w:val="32"/>
        </w:rPr>
        <w:t>试验点</w:t>
      </w:r>
      <w:r>
        <w:rPr>
          <w:rFonts w:hint="eastAsia" w:ascii="Times New Roman" w:hAnsi="Times New Roman" w:eastAsia="仿宋_GB2312" w:cs="Times New Roman"/>
          <w:sz w:val="32"/>
          <w:szCs w:val="32"/>
        </w:rPr>
        <w:t>各处理间种植品种、土壤类型、种植期、肥水等生产条件和栽培管理措施完全一致。试验设A、B、C、D、E和清</w:t>
      </w:r>
      <w:r>
        <w:rPr>
          <w:rFonts w:ascii="Times New Roman" w:hAnsi="Times New Roman" w:eastAsia="仿宋_GB2312" w:cs="Times New Roman"/>
          <w:sz w:val="32"/>
          <w:szCs w:val="32"/>
        </w:rPr>
        <w:t>水</w:t>
      </w:r>
      <w:r>
        <w:rPr>
          <w:rFonts w:hint="eastAsia" w:ascii="Times New Roman" w:hAnsi="Times New Roman" w:eastAsia="仿宋_GB2312" w:cs="Times New Roman"/>
          <w:sz w:val="32"/>
          <w:szCs w:val="32"/>
        </w:rPr>
        <w:t>对照6个施</w:t>
      </w:r>
      <w:r>
        <w:rPr>
          <w:rFonts w:ascii="Times New Roman" w:hAnsi="Times New Roman" w:eastAsia="仿宋_GB2312" w:cs="Times New Roman"/>
          <w:sz w:val="32"/>
          <w:szCs w:val="32"/>
        </w:rPr>
        <w:t>药</w:t>
      </w:r>
      <w:r>
        <w:rPr>
          <w:rFonts w:hint="eastAsia" w:ascii="Times New Roman" w:hAnsi="Times New Roman" w:eastAsia="仿宋_GB2312" w:cs="Times New Roman"/>
          <w:sz w:val="32"/>
          <w:szCs w:val="32"/>
        </w:rPr>
        <w:t>处理，各处理药剂组合选取实际生产中广泛应用的单剂复配配方，A处理和C处理、B处理和D处理相互验证不同施药方式下杂草防效差异；A处理、B处理分别与C、D、E处理验证不同药剂组合杂草防效差异。各试验处理见表</w:t>
      </w:r>
      <w:r>
        <w:rPr>
          <w:rFonts w:hint="eastAsia" w:ascii="Times New Roman" w:hAnsi="Times New Roman" w:eastAsia="仿宋_GB2312" w:cs="Times New Roman"/>
          <w:sz w:val="32"/>
          <w:szCs w:val="32"/>
          <w:lang w:val="en-US" w:eastAsia="zh-CN"/>
        </w:rPr>
        <w:t>3</w:t>
      </w:r>
      <w:r>
        <w:rPr>
          <w:rFonts w:hint="eastAsia" w:ascii="Times New Roman" w:hAnsi="Times New Roman" w:eastAsia="仿宋_GB2312" w:cs="Times New Roman"/>
          <w:sz w:val="32"/>
          <w:szCs w:val="32"/>
        </w:rPr>
        <w:t>。</w:t>
      </w:r>
    </w:p>
    <w:p>
      <w:pPr>
        <w:spacing w:before="156" w:beforeLines="50" w:after="156" w:afterLines="50"/>
        <w:jc w:val="center"/>
        <w:rPr>
          <w:rFonts w:hint="eastAsia" w:ascii="宋体" w:hAnsi="宋体" w:cs="宋体"/>
          <w:b/>
          <w:bCs/>
          <w:color w:val="000000"/>
          <w:kern w:val="0"/>
          <w:szCs w:val="21"/>
        </w:rPr>
      </w:pPr>
      <w:r>
        <w:rPr>
          <w:rFonts w:hint="eastAsia" w:ascii="宋体" w:hAnsi="宋体" w:cs="宋体"/>
          <w:b/>
          <w:bCs/>
          <w:color w:val="000000"/>
          <w:kern w:val="0"/>
          <w:szCs w:val="21"/>
        </w:rPr>
        <w:t>表</w:t>
      </w:r>
      <w:r>
        <w:rPr>
          <w:rFonts w:hint="eastAsia" w:ascii="宋体" w:hAnsi="宋体" w:cs="宋体"/>
          <w:b/>
          <w:bCs/>
          <w:color w:val="000000"/>
          <w:kern w:val="0"/>
          <w:szCs w:val="21"/>
          <w:lang w:val="en-US" w:eastAsia="zh-CN"/>
        </w:rPr>
        <w:t>3</w:t>
      </w:r>
      <w:r>
        <w:rPr>
          <w:rFonts w:hint="eastAsia" w:ascii="宋体" w:hAnsi="宋体" w:cs="宋体"/>
          <w:b/>
          <w:bCs/>
          <w:color w:val="000000"/>
          <w:kern w:val="0"/>
          <w:szCs w:val="21"/>
        </w:rPr>
        <w:t xml:space="preserve">  试验</w:t>
      </w:r>
      <w:r>
        <w:rPr>
          <w:rFonts w:ascii="宋体" w:hAnsi="宋体" w:cs="宋体"/>
          <w:b/>
          <w:bCs/>
          <w:color w:val="000000"/>
          <w:kern w:val="0"/>
          <w:szCs w:val="21"/>
        </w:rPr>
        <w:t>各</w:t>
      </w:r>
      <w:r>
        <w:rPr>
          <w:rFonts w:hint="eastAsia" w:ascii="宋体" w:hAnsi="宋体" w:cs="宋体"/>
          <w:b/>
          <w:bCs/>
          <w:color w:val="000000"/>
          <w:kern w:val="0"/>
          <w:szCs w:val="21"/>
        </w:rPr>
        <w:t>处理设置</w:t>
      </w:r>
    </w:p>
    <w:tbl>
      <w:tblPr>
        <w:tblStyle w:val="10"/>
        <w:tblW w:w="4954" w:type="pct"/>
        <w:jc w:val="center"/>
        <w:tblLayout w:type="fixed"/>
        <w:tblCellMar>
          <w:top w:w="0" w:type="dxa"/>
          <w:left w:w="108" w:type="dxa"/>
          <w:bottom w:w="0" w:type="dxa"/>
          <w:right w:w="108" w:type="dxa"/>
        </w:tblCellMar>
      </w:tblPr>
      <w:tblGrid>
        <w:gridCol w:w="501"/>
        <w:gridCol w:w="3193"/>
        <w:gridCol w:w="5172"/>
      </w:tblGrid>
      <w:tr>
        <w:tblPrEx>
          <w:tblCellMar>
            <w:top w:w="0" w:type="dxa"/>
            <w:left w:w="108" w:type="dxa"/>
            <w:bottom w:w="0" w:type="dxa"/>
            <w:right w:w="108" w:type="dxa"/>
          </w:tblCellMar>
        </w:tblPrEx>
        <w:trPr>
          <w:trHeight w:val="384" w:hRule="atLeast"/>
          <w:jc w:val="center"/>
        </w:trPr>
        <w:tc>
          <w:tcPr>
            <w:tcW w:w="282" w:type="pct"/>
            <w:tcBorders>
              <w:top w:val="single" w:color="000000" w:sz="12" w:space="0"/>
              <w:left w:val="nil"/>
              <w:bottom w:val="single"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kern w:val="0"/>
                <w:szCs w:val="21"/>
              </w:rPr>
              <w:t>处理</w:t>
            </w:r>
          </w:p>
        </w:tc>
        <w:tc>
          <w:tcPr>
            <w:tcW w:w="1800" w:type="pct"/>
            <w:tcBorders>
              <w:top w:val="single" w:color="000000" w:sz="12" w:space="0"/>
              <w:left w:val="nil"/>
              <w:bottom w:val="single"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施药方式</w:t>
            </w:r>
          </w:p>
        </w:tc>
        <w:tc>
          <w:tcPr>
            <w:tcW w:w="2916" w:type="pct"/>
            <w:tcBorders>
              <w:top w:val="single" w:color="000000" w:sz="12" w:space="0"/>
              <w:left w:val="nil"/>
              <w:right w:val="nil"/>
            </w:tcBorders>
            <w:noWrap/>
            <w:vAlign w:val="center"/>
          </w:tcPr>
          <w:p>
            <w:pPr>
              <w:widowControl/>
              <w:ind w:left="-53" w:leftChars="-25" w:right="-53" w:rightChars="-25"/>
              <w:jc w:val="center"/>
              <w:textAlignment w:val="center"/>
              <w:rPr>
                <w:rFonts w:hint="eastAsia" w:ascii="宋体" w:hAnsi="宋体" w:cs="宋体"/>
                <w:color w:val="000000"/>
                <w:kern w:val="0"/>
                <w:szCs w:val="21"/>
              </w:rPr>
            </w:pPr>
            <w:r>
              <w:rPr>
                <w:rFonts w:hint="eastAsia" w:ascii="宋体" w:hAnsi="宋体" w:cs="宋体"/>
                <w:color w:val="000000"/>
                <w:kern w:val="0"/>
                <w:szCs w:val="21"/>
              </w:rPr>
              <w:t>药剂组合</w:t>
            </w:r>
          </w:p>
        </w:tc>
      </w:tr>
      <w:tr>
        <w:tblPrEx>
          <w:tblCellMar>
            <w:top w:w="0" w:type="dxa"/>
            <w:left w:w="108" w:type="dxa"/>
            <w:bottom w:w="0" w:type="dxa"/>
            <w:right w:w="108" w:type="dxa"/>
          </w:tblCellMar>
        </w:tblPrEx>
        <w:trPr>
          <w:trHeight w:val="312" w:hRule="atLeast"/>
          <w:jc w:val="center"/>
        </w:trPr>
        <w:tc>
          <w:tcPr>
            <w:tcW w:w="282" w:type="pct"/>
            <w:vMerge w:val="restart"/>
            <w:tcBorders>
              <w:top w:val="single" w:color="000000" w:sz="4" w:space="0"/>
              <w:left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A</w:t>
            </w:r>
          </w:p>
        </w:tc>
        <w:tc>
          <w:tcPr>
            <w:tcW w:w="1800" w:type="pct"/>
            <w:vMerge w:val="restart"/>
            <w:tcBorders>
              <w:top w:val="single" w:color="000000" w:sz="4" w:space="0"/>
              <w:left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ascii="宋体" w:hAnsi="宋体" w:cs="宋体"/>
                <w:color w:val="000000"/>
                <w:szCs w:val="21"/>
              </w:rPr>
            </w:pPr>
            <w:r>
              <w:rPr>
                <w:rFonts w:hint="eastAsia" w:ascii="宋体" w:hAnsi="宋体" w:cs="宋体"/>
                <w:color w:val="000000"/>
                <w:szCs w:val="21"/>
              </w:rPr>
              <w:t>小麦3叶期至拔节前、大豆2～3片复叶期隔离定向喷雾</w:t>
            </w:r>
          </w:p>
        </w:tc>
        <w:tc>
          <w:tcPr>
            <w:tcW w:w="2916" w:type="pct"/>
            <w:tcBorders>
              <w:top w:val="single" w:color="000000" w:sz="4" w:space="0"/>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textAlignment w:val="center"/>
              <w:rPr>
                <w:rFonts w:hint="eastAsia" w:ascii="宋体" w:hAnsi="宋体" w:cs="宋体"/>
                <w:color w:val="000000"/>
                <w:szCs w:val="21"/>
              </w:rPr>
            </w:pPr>
            <w:r>
              <w:rPr>
                <w:rFonts w:hint="eastAsia" w:ascii="宋体" w:hAnsi="宋体" w:cs="宋体"/>
                <w:color w:val="000000"/>
                <w:szCs w:val="21"/>
              </w:rPr>
              <w:t>小麦田：24%炔草酯乳油</w:t>
            </w:r>
            <w:r>
              <w:rPr>
                <w:rFonts w:ascii="宋体" w:hAnsi="宋体" w:cs="宋体"/>
                <w:color w:val="000000"/>
                <w:szCs w:val="21"/>
              </w:rPr>
              <w:t>180</w:t>
            </w:r>
            <w:r>
              <w:rPr>
                <w:rFonts w:hint="eastAsia" w:ascii="宋体" w:hAnsi="宋体" w:cs="宋体"/>
                <w:color w:val="000000"/>
                <w:szCs w:val="21"/>
              </w:rPr>
              <w:t xml:space="preserve">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r>
              <w:rPr>
                <w:rFonts w:hint="eastAsia" w:ascii="宋体" w:hAnsi="宋体" w:cs="宋体"/>
                <w:color w:val="000000"/>
                <w:szCs w:val="21"/>
              </w:rPr>
              <w:t>+900 g·L</w:t>
            </w:r>
            <w:r>
              <w:rPr>
                <w:rFonts w:ascii="宋体" w:hAnsi="宋体" w:cs="宋体"/>
                <w:color w:val="000000"/>
                <w:szCs w:val="21"/>
                <w:vertAlign w:val="superscript"/>
              </w:rPr>
              <w:t>-1</w:t>
            </w:r>
            <w:r>
              <w:rPr>
                <w:rFonts w:hint="eastAsia" w:ascii="宋体" w:hAnsi="宋体" w:cs="宋体"/>
                <w:color w:val="000000"/>
                <w:szCs w:val="21"/>
              </w:rPr>
              <w:t xml:space="preserve"> 2，4-滴异辛酯乳油</w:t>
            </w:r>
            <w:r>
              <w:rPr>
                <w:rFonts w:ascii="宋体" w:hAnsi="宋体" w:cs="宋体"/>
                <w:color w:val="000000"/>
                <w:szCs w:val="21"/>
              </w:rPr>
              <w:t>67</w:t>
            </w:r>
            <w:r>
              <w:rPr>
                <w:rFonts w:hint="eastAsia" w:ascii="宋体" w:hAnsi="宋体" w:cs="宋体"/>
                <w:color w:val="000000"/>
                <w:szCs w:val="21"/>
              </w:rPr>
              <w:t>5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p>
        </w:tc>
      </w:tr>
      <w:tr>
        <w:tblPrEx>
          <w:tblCellMar>
            <w:top w:w="0" w:type="dxa"/>
            <w:left w:w="108" w:type="dxa"/>
            <w:bottom w:w="0" w:type="dxa"/>
            <w:right w:w="108" w:type="dxa"/>
          </w:tblCellMar>
        </w:tblPrEx>
        <w:trPr>
          <w:trHeight w:val="312" w:hRule="atLeast"/>
          <w:jc w:val="center"/>
        </w:trPr>
        <w:tc>
          <w:tcPr>
            <w:tcW w:w="282" w:type="pct"/>
            <w:vMerge w:val="continue"/>
            <w:tcBorders>
              <w:left w:val="nil"/>
              <w:bottom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p>
        </w:tc>
        <w:tc>
          <w:tcPr>
            <w:tcW w:w="1800" w:type="pct"/>
            <w:vMerge w:val="continue"/>
            <w:tcBorders>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right="-53" w:rightChars="-25"/>
              <w:textAlignment w:val="center"/>
              <w:rPr>
                <w:rFonts w:hint="eastAsia" w:ascii="宋体" w:hAnsi="宋体" w:cs="宋体"/>
                <w:color w:val="000000"/>
                <w:szCs w:val="21"/>
              </w:rPr>
            </w:pPr>
          </w:p>
        </w:tc>
        <w:tc>
          <w:tcPr>
            <w:tcW w:w="2916" w:type="pct"/>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240" w:lineRule="exact"/>
              <w:ind w:right="-53" w:rightChars="-25"/>
              <w:textAlignment w:val="center"/>
              <w:rPr>
                <w:rFonts w:hint="eastAsia" w:ascii="宋体" w:hAnsi="宋体" w:cs="宋体"/>
                <w:color w:val="000000"/>
                <w:szCs w:val="21"/>
              </w:rPr>
            </w:pPr>
            <w:r>
              <w:rPr>
                <w:rFonts w:hint="eastAsia" w:ascii="宋体" w:hAnsi="宋体" w:cs="宋体"/>
                <w:color w:val="000000"/>
                <w:szCs w:val="21"/>
              </w:rPr>
              <w:t>大豆田：108 g·L</w:t>
            </w:r>
            <w:r>
              <w:rPr>
                <w:rFonts w:ascii="宋体" w:hAnsi="宋体" w:cs="宋体"/>
                <w:color w:val="000000"/>
                <w:szCs w:val="21"/>
                <w:vertAlign w:val="superscript"/>
              </w:rPr>
              <w:t>-1</w:t>
            </w:r>
            <w:r>
              <w:rPr>
                <w:rFonts w:hint="eastAsia" w:ascii="宋体" w:hAnsi="宋体" w:cs="宋体"/>
                <w:color w:val="000000"/>
                <w:szCs w:val="21"/>
              </w:rPr>
              <w:t>高效氟吡甲禾灵乳油</w:t>
            </w:r>
            <w:r>
              <w:rPr>
                <w:rFonts w:ascii="宋体" w:hAnsi="宋体" w:cs="宋体"/>
                <w:color w:val="000000"/>
                <w:szCs w:val="21"/>
              </w:rPr>
              <w:t>60</w:t>
            </w:r>
            <w:r>
              <w:rPr>
                <w:rFonts w:hint="eastAsia" w:ascii="宋体" w:hAnsi="宋体" w:cs="宋体"/>
                <w:color w:val="000000"/>
                <w:szCs w:val="21"/>
              </w:rPr>
              <w:t>0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r>
              <w:rPr>
                <w:rFonts w:hint="eastAsia" w:ascii="宋体" w:hAnsi="宋体" w:cs="宋体"/>
                <w:color w:val="000000"/>
                <w:szCs w:val="21"/>
              </w:rPr>
              <w:t>+480 g·L</w:t>
            </w:r>
            <w:r>
              <w:rPr>
                <w:rFonts w:ascii="宋体" w:hAnsi="宋体" w:cs="宋体"/>
                <w:color w:val="000000"/>
                <w:szCs w:val="21"/>
                <w:vertAlign w:val="superscript"/>
              </w:rPr>
              <w:t>-1</w:t>
            </w:r>
            <w:r>
              <w:rPr>
                <w:rFonts w:hint="eastAsia" w:ascii="宋体" w:hAnsi="宋体" w:cs="宋体"/>
                <w:color w:val="000000"/>
                <w:szCs w:val="21"/>
              </w:rPr>
              <w:t>灭草松水剂</w:t>
            </w:r>
            <w:r>
              <w:rPr>
                <w:rFonts w:ascii="宋体" w:hAnsi="宋体" w:cs="宋体"/>
                <w:color w:val="000000"/>
                <w:szCs w:val="21"/>
              </w:rPr>
              <w:t>2 70</w:t>
            </w:r>
            <w:r>
              <w:rPr>
                <w:rFonts w:hint="eastAsia" w:ascii="宋体" w:hAnsi="宋体" w:cs="宋体"/>
                <w:color w:val="000000"/>
                <w:szCs w:val="21"/>
              </w:rPr>
              <w:t>0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r>
              <w:rPr>
                <w:rFonts w:hint="eastAsia" w:ascii="宋体" w:hAnsi="宋体" w:cs="宋体"/>
                <w:color w:val="000000"/>
                <w:szCs w:val="21"/>
              </w:rPr>
              <w:t>+250 g·L</w:t>
            </w:r>
            <w:r>
              <w:rPr>
                <w:rFonts w:ascii="宋体" w:hAnsi="宋体" w:cs="宋体"/>
                <w:color w:val="000000"/>
                <w:szCs w:val="21"/>
                <w:vertAlign w:val="superscript"/>
              </w:rPr>
              <w:t>-1</w:t>
            </w:r>
            <w:r>
              <w:rPr>
                <w:rFonts w:hint="eastAsia" w:ascii="宋体" w:hAnsi="宋体" w:cs="宋体"/>
                <w:color w:val="000000"/>
                <w:szCs w:val="21"/>
              </w:rPr>
              <w:t>氟磺胺草醚水剂</w:t>
            </w:r>
            <w:r>
              <w:rPr>
                <w:rFonts w:ascii="宋体" w:hAnsi="宋体" w:cs="宋体"/>
                <w:color w:val="000000"/>
                <w:szCs w:val="21"/>
              </w:rPr>
              <w:t>1 350</w:t>
            </w:r>
            <w:r>
              <w:rPr>
                <w:rFonts w:hint="eastAsia" w:ascii="宋体" w:hAnsi="宋体" w:cs="宋体"/>
                <w:color w:val="000000"/>
                <w:szCs w:val="21"/>
              </w:rPr>
              <w:t xml:space="preserve">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p>
        </w:tc>
      </w:tr>
      <w:tr>
        <w:tblPrEx>
          <w:tblCellMar>
            <w:top w:w="0" w:type="dxa"/>
            <w:left w:w="108" w:type="dxa"/>
            <w:bottom w:w="0" w:type="dxa"/>
            <w:right w:w="108" w:type="dxa"/>
          </w:tblCellMar>
        </w:tblPrEx>
        <w:trPr>
          <w:trHeight w:val="312" w:hRule="atLeast"/>
          <w:jc w:val="center"/>
        </w:trPr>
        <w:tc>
          <w:tcPr>
            <w:tcW w:w="282" w:type="pct"/>
            <w:vMerge w:val="restart"/>
            <w:tcBorders>
              <w:top w:val="nil"/>
              <w:left w:val="nil"/>
              <w:right w:val="nil"/>
            </w:tcBorders>
            <w:noWrap w:val="0"/>
            <w:vAlign w:val="center"/>
          </w:tcPr>
          <w:p>
            <w:pPr>
              <w:widowControl/>
              <w:ind w:left="-53" w:leftChars="-25" w:right="-53" w:rightChars="-25"/>
              <w:jc w:val="center"/>
              <w:textAlignment w:val="center"/>
              <w:rPr>
                <w:rFonts w:ascii="宋体" w:hAnsi="宋体" w:cs="宋体"/>
                <w:color w:val="000000"/>
                <w:szCs w:val="21"/>
              </w:rPr>
            </w:pPr>
            <w:r>
              <w:rPr>
                <w:rFonts w:hint="eastAsia" w:ascii="宋体" w:hAnsi="宋体" w:cs="宋体"/>
                <w:color w:val="000000"/>
                <w:szCs w:val="21"/>
              </w:rPr>
              <w:t>B</w:t>
            </w:r>
          </w:p>
        </w:tc>
        <w:tc>
          <w:tcPr>
            <w:tcW w:w="1800" w:type="pct"/>
            <w:vMerge w:val="restart"/>
            <w:tcBorders>
              <w:top w:val="nil"/>
              <w:left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小麦3叶期至拔节前、大豆2～3片复叶期隔离定向喷雾</w:t>
            </w:r>
          </w:p>
        </w:tc>
        <w:tc>
          <w:tcPr>
            <w:tcW w:w="2916" w:type="pct"/>
            <w:tcBorders>
              <w:top w:val="nil"/>
              <w:left w:val="nil"/>
              <w:bottom w:val="nil"/>
              <w:right w:val="nil"/>
            </w:tcBorders>
            <w:noWrap/>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textAlignment w:val="center"/>
              <w:rPr>
                <w:rFonts w:hint="eastAsia" w:ascii="宋体" w:hAnsi="宋体" w:cs="宋体"/>
                <w:color w:val="000000"/>
                <w:szCs w:val="21"/>
              </w:rPr>
            </w:pPr>
            <w:r>
              <w:rPr>
                <w:rFonts w:hint="eastAsia" w:ascii="宋体" w:hAnsi="宋体" w:cs="宋体"/>
                <w:color w:val="000000"/>
                <w:szCs w:val="21"/>
              </w:rPr>
              <w:t>小麦田：69 g·L</w:t>
            </w:r>
            <w:r>
              <w:rPr>
                <w:rFonts w:ascii="宋体" w:hAnsi="宋体" w:cs="宋体"/>
                <w:color w:val="000000"/>
                <w:szCs w:val="21"/>
                <w:vertAlign w:val="superscript"/>
              </w:rPr>
              <w:t>-1</w:t>
            </w:r>
            <w:r>
              <w:rPr>
                <w:rFonts w:hint="eastAsia" w:ascii="宋体" w:hAnsi="宋体" w:cs="宋体"/>
                <w:color w:val="000000"/>
                <w:szCs w:val="21"/>
              </w:rPr>
              <w:t>精噁唑禾草灵水乳剂</w:t>
            </w:r>
            <w:r>
              <w:rPr>
                <w:rFonts w:ascii="宋体" w:hAnsi="宋体" w:cs="宋体"/>
                <w:color w:val="000000"/>
                <w:szCs w:val="21"/>
              </w:rPr>
              <w:t>90</w:t>
            </w:r>
            <w:r>
              <w:rPr>
                <w:rFonts w:hint="eastAsia" w:ascii="宋体" w:hAnsi="宋体" w:cs="宋体"/>
                <w:color w:val="000000"/>
                <w:szCs w:val="21"/>
              </w:rPr>
              <w:t>0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r>
              <w:rPr>
                <w:rFonts w:hint="eastAsia" w:ascii="宋体" w:hAnsi="宋体" w:cs="宋体"/>
                <w:color w:val="000000"/>
                <w:szCs w:val="21"/>
              </w:rPr>
              <w:t>+10%苯磺隆可湿性粉剂</w:t>
            </w:r>
            <w:r>
              <w:rPr>
                <w:rFonts w:ascii="宋体" w:hAnsi="宋体" w:cs="宋体"/>
                <w:color w:val="000000"/>
                <w:szCs w:val="21"/>
              </w:rPr>
              <w:t>165</w:t>
            </w:r>
            <w:r>
              <w:rPr>
                <w:rFonts w:hint="eastAsia" w:ascii="宋体" w:hAnsi="宋体" w:cs="宋体"/>
                <w:color w:val="000000"/>
                <w:szCs w:val="21"/>
              </w:rPr>
              <w:t xml:space="preserve"> g</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p>
        </w:tc>
      </w:tr>
      <w:tr>
        <w:tblPrEx>
          <w:tblCellMar>
            <w:top w:w="0" w:type="dxa"/>
            <w:left w:w="108" w:type="dxa"/>
            <w:bottom w:w="0" w:type="dxa"/>
            <w:right w:w="108" w:type="dxa"/>
          </w:tblCellMar>
        </w:tblPrEx>
        <w:trPr>
          <w:trHeight w:val="312" w:hRule="atLeast"/>
          <w:jc w:val="center"/>
        </w:trPr>
        <w:tc>
          <w:tcPr>
            <w:tcW w:w="282" w:type="pct"/>
            <w:vMerge w:val="continue"/>
            <w:tcBorders>
              <w:left w:val="nil"/>
              <w:bottom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p>
        </w:tc>
        <w:tc>
          <w:tcPr>
            <w:tcW w:w="1800" w:type="pct"/>
            <w:vMerge w:val="continue"/>
            <w:tcBorders>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hint="eastAsia" w:ascii="宋体" w:hAnsi="宋体" w:cs="宋体"/>
                <w:color w:val="000000"/>
                <w:szCs w:val="21"/>
              </w:rPr>
            </w:pPr>
          </w:p>
        </w:tc>
        <w:tc>
          <w:tcPr>
            <w:tcW w:w="2916" w:type="pct"/>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right="-53" w:rightChars="-25"/>
              <w:textAlignment w:val="center"/>
              <w:rPr>
                <w:rFonts w:hint="eastAsia" w:ascii="宋体" w:hAnsi="宋体" w:cs="宋体"/>
                <w:color w:val="000000"/>
                <w:szCs w:val="21"/>
              </w:rPr>
            </w:pPr>
            <w:r>
              <w:rPr>
                <w:rFonts w:hint="eastAsia" w:ascii="宋体" w:hAnsi="宋体" w:cs="宋体"/>
                <w:color w:val="000000"/>
                <w:szCs w:val="21"/>
              </w:rPr>
              <w:t>大豆田：240 g·L</w:t>
            </w:r>
            <w:r>
              <w:rPr>
                <w:rFonts w:ascii="宋体" w:hAnsi="宋体" w:cs="宋体"/>
                <w:color w:val="000000"/>
                <w:szCs w:val="21"/>
                <w:vertAlign w:val="superscript"/>
              </w:rPr>
              <w:t>-1</w:t>
            </w:r>
            <w:r>
              <w:rPr>
                <w:rFonts w:hint="eastAsia" w:ascii="宋体" w:hAnsi="宋体" w:cs="宋体"/>
                <w:color w:val="000000"/>
                <w:szCs w:val="21"/>
              </w:rPr>
              <w:t>烯草酮乳油</w:t>
            </w:r>
            <w:r>
              <w:rPr>
                <w:rFonts w:ascii="宋体" w:hAnsi="宋体" w:cs="宋体"/>
                <w:color w:val="000000"/>
                <w:szCs w:val="21"/>
              </w:rPr>
              <w:t>450</w:t>
            </w:r>
            <w:r>
              <w:rPr>
                <w:rFonts w:hint="eastAsia" w:ascii="宋体" w:hAnsi="宋体" w:cs="宋体"/>
                <w:color w:val="000000"/>
                <w:szCs w:val="21"/>
              </w:rPr>
              <w:t xml:space="preserve">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r>
              <w:rPr>
                <w:rFonts w:hint="eastAsia" w:ascii="宋体" w:hAnsi="宋体" w:cs="宋体"/>
                <w:color w:val="000000"/>
                <w:szCs w:val="21"/>
              </w:rPr>
              <w:t>+250g/L氟磺胺草醚水剂</w:t>
            </w:r>
            <w:r>
              <w:rPr>
                <w:rFonts w:ascii="宋体" w:hAnsi="宋体" w:cs="宋体"/>
                <w:color w:val="000000"/>
                <w:szCs w:val="21"/>
              </w:rPr>
              <w:t>1 350</w:t>
            </w:r>
            <w:r>
              <w:rPr>
                <w:rFonts w:hint="eastAsia" w:ascii="宋体" w:hAnsi="宋体" w:cs="宋体"/>
                <w:color w:val="000000"/>
                <w:szCs w:val="21"/>
              </w:rPr>
              <w:t xml:space="preserve">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p>
        </w:tc>
      </w:tr>
      <w:tr>
        <w:tblPrEx>
          <w:tblCellMar>
            <w:top w:w="0" w:type="dxa"/>
            <w:left w:w="108" w:type="dxa"/>
            <w:bottom w:w="0" w:type="dxa"/>
            <w:right w:w="108" w:type="dxa"/>
          </w:tblCellMar>
        </w:tblPrEx>
        <w:trPr>
          <w:trHeight w:val="312" w:hRule="atLeast"/>
          <w:jc w:val="center"/>
        </w:trPr>
        <w:tc>
          <w:tcPr>
            <w:tcW w:w="282"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zCs w:val="21"/>
              </w:rPr>
            </w:pPr>
            <w:r>
              <w:rPr>
                <w:rFonts w:hint="eastAsia" w:ascii="宋体" w:hAnsi="宋体" w:cs="宋体"/>
                <w:color w:val="000000"/>
                <w:szCs w:val="21"/>
              </w:rPr>
              <w:t>C</w:t>
            </w:r>
          </w:p>
        </w:tc>
        <w:tc>
          <w:tcPr>
            <w:tcW w:w="1800" w:type="pct"/>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小麦苗后、大豆出苗前全田喷雾</w:t>
            </w:r>
          </w:p>
        </w:tc>
        <w:tc>
          <w:tcPr>
            <w:tcW w:w="2916" w:type="pct"/>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textAlignment w:val="center"/>
              <w:rPr>
                <w:rFonts w:hint="eastAsia" w:ascii="宋体" w:hAnsi="宋体" w:cs="宋体"/>
                <w:color w:val="000000"/>
                <w:szCs w:val="21"/>
              </w:rPr>
            </w:pPr>
            <w:r>
              <w:rPr>
                <w:rFonts w:hint="eastAsia" w:ascii="宋体" w:hAnsi="宋体" w:cs="宋体"/>
                <w:color w:val="000000"/>
                <w:szCs w:val="21"/>
              </w:rPr>
              <w:t>24%炔草酯乳油</w:t>
            </w:r>
            <w:r>
              <w:rPr>
                <w:rFonts w:ascii="宋体" w:hAnsi="宋体" w:cs="宋体"/>
                <w:color w:val="000000"/>
                <w:szCs w:val="21"/>
              </w:rPr>
              <w:t>180</w:t>
            </w:r>
            <w:r>
              <w:rPr>
                <w:rFonts w:hint="eastAsia" w:ascii="宋体" w:hAnsi="宋体" w:cs="宋体"/>
                <w:color w:val="000000"/>
                <w:szCs w:val="21"/>
              </w:rPr>
              <w:t xml:space="preserve">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r>
              <w:rPr>
                <w:rFonts w:hint="eastAsia" w:ascii="宋体" w:hAnsi="宋体" w:cs="宋体"/>
                <w:color w:val="000000"/>
                <w:szCs w:val="21"/>
              </w:rPr>
              <w:t>+900 g·L</w:t>
            </w:r>
            <w:r>
              <w:rPr>
                <w:rFonts w:ascii="宋体" w:hAnsi="宋体" w:cs="宋体"/>
                <w:color w:val="000000"/>
                <w:szCs w:val="21"/>
                <w:vertAlign w:val="superscript"/>
              </w:rPr>
              <w:t>-1</w:t>
            </w:r>
            <w:r>
              <w:rPr>
                <w:rFonts w:hint="eastAsia" w:ascii="宋体" w:hAnsi="宋体" w:cs="宋体"/>
                <w:color w:val="000000"/>
                <w:szCs w:val="21"/>
              </w:rPr>
              <w:t>2，4-滴异辛酯乳油</w:t>
            </w:r>
            <w:r>
              <w:rPr>
                <w:rFonts w:ascii="宋体" w:hAnsi="宋体" w:cs="宋体"/>
                <w:color w:val="000000"/>
                <w:szCs w:val="21"/>
              </w:rPr>
              <w:t>67</w:t>
            </w:r>
            <w:r>
              <w:rPr>
                <w:rFonts w:hint="eastAsia" w:ascii="宋体" w:hAnsi="宋体" w:cs="宋体"/>
                <w:color w:val="000000"/>
                <w:szCs w:val="21"/>
              </w:rPr>
              <w:t>5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p>
        </w:tc>
      </w:tr>
      <w:tr>
        <w:tblPrEx>
          <w:tblCellMar>
            <w:top w:w="0" w:type="dxa"/>
            <w:left w:w="108" w:type="dxa"/>
            <w:bottom w:w="0" w:type="dxa"/>
            <w:right w:w="108" w:type="dxa"/>
          </w:tblCellMar>
        </w:tblPrEx>
        <w:trPr>
          <w:trHeight w:val="312" w:hRule="atLeast"/>
          <w:jc w:val="center"/>
        </w:trPr>
        <w:tc>
          <w:tcPr>
            <w:tcW w:w="282" w:type="pct"/>
            <w:tcBorders>
              <w:top w:val="nil"/>
              <w:left w:val="nil"/>
              <w:bottom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D</w:t>
            </w:r>
          </w:p>
        </w:tc>
        <w:tc>
          <w:tcPr>
            <w:tcW w:w="1800" w:type="pct"/>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小麦苗后、大豆出苗前全田喷雾</w:t>
            </w:r>
          </w:p>
        </w:tc>
        <w:tc>
          <w:tcPr>
            <w:tcW w:w="2916" w:type="pct"/>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textAlignment w:val="center"/>
              <w:rPr>
                <w:rFonts w:hint="eastAsia" w:ascii="宋体" w:hAnsi="宋体" w:cs="宋体"/>
                <w:color w:val="000000"/>
                <w:szCs w:val="21"/>
              </w:rPr>
            </w:pPr>
            <w:r>
              <w:rPr>
                <w:rFonts w:hint="eastAsia" w:ascii="宋体" w:hAnsi="宋体" w:cs="宋体"/>
                <w:color w:val="000000"/>
                <w:szCs w:val="21"/>
              </w:rPr>
              <w:t>69 g·L</w:t>
            </w:r>
            <w:r>
              <w:rPr>
                <w:rFonts w:ascii="宋体" w:hAnsi="宋体" w:cs="宋体"/>
                <w:color w:val="000000"/>
                <w:szCs w:val="21"/>
                <w:vertAlign w:val="superscript"/>
              </w:rPr>
              <w:t>-1</w:t>
            </w:r>
            <w:r>
              <w:rPr>
                <w:rFonts w:hint="eastAsia" w:ascii="宋体" w:hAnsi="宋体" w:cs="宋体"/>
                <w:color w:val="000000"/>
                <w:szCs w:val="21"/>
              </w:rPr>
              <w:t>精噁唑禾草灵水乳剂60 ml/667m</w:t>
            </w:r>
            <w:r>
              <w:rPr>
                <w:rFonts w:hint="eastAsia" w:ascii="宋体" w:hAnsi="宋体" w:cs="宋体"/>
                <w:color w:val="000000"/>
                <w:szCs w:val="21"/>
                <w:vertAlign w:val="superscript"/>
              </w:rPr>
              <w:t>2</w:t>
            </w:r>
            <w:r>
              <w:rPr>
                <w:rFonts w:hint="eastAsia" w:ascii="宋体" w:hAnsi="宋体" w:cs="宋体"/>
                <w:color w:val="000000"/>
                <w:szCs w:val="21"/>
              </w:rPr>
              <w:t>+10%苯磺隆可湿性粉剂11 g/667m</w:t>
            </w:r>
            <w:r>
              <w:rPr>
                <w:rFonts w:hint="eastAsia" w:ascii="宋体" w:hAnsi="宋体" w:cs="宋体"/>
                <w:color w:val="000000"/>
                <w:szCs w:val="21"/>
                <w:vertAlign w:val="superscript"/>
              </w:rPr>
              <w:t>2</w:t>
            </w:r>
          </w:p>
        </w:tc>
      </w:tr>
      <w:tr>
        <w:tblPrEx>
          <w:tblCellMar>
            <w:top w:w="0" w:type="dxa"/>
            <w:left w:w="108" w:type="dxa"/>
            <w:bottom w:w="0" w:type="dxa"/>
            <w:right w:w="108" w:type="dxa"/>
          </w:tblCellMar>
        </w:tblPrEx>
        <w:trPr>
          <w:trHeight w:val="312" w:hRule="atLeast"/>
          <w:jc w:val="center"/>
        </w:trPr>
        <w:tc>
          <w:tcPr>
            <w:tcW w:w="282"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zCs w:val="21"/>
              </w:rPr>
            </w:pPr>
            <w:r>
              <w:rPr>
                <w:rFonts w:hint="eastAsia" w:ascii="宋体" w:hAnsi="宋体" w:cs="宋体"/>
                <w:color w:val="000000"/>
                <w:szCs w:val="21"/>
              </w:rPr>
              <w:t>E</w:t>
            </w:r>
          </w:p>
        </w:tc>
        <w:tc>
          <w:tcPr>
            <w:tcW w:w="1800" w:type="pct"/>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小麦苗后、大豆出苗前全田喷雾</w:t>
            </w:r>
          </w:p>
        </w:tc>
        <w:tc>
          <w:tcPr>
            <w:tcW w:w="2916" w:type="pct"/>
            <w:tcBorders>
              <w:top w:val="nil"/>
              <w:left w:val="nil"/>
              <w:bottom w:val="nil"/>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textAlignment w:val="center"/>
              <w:rPr>
                <w:rFonts w:hint="eastAsia" w:ascii="宋体" w:hAnsi="宋体" w:cs="宋体"/>
                <w:color w:val="000000"/>
                <w:szCs w:val="21"/>
              </w:rPr>
            </w:pPr>
            <w:r>
              <w:rPr>
                <w:rFonts w:hint="eastAsia" w:ascii="宋体" w:hAnsi="宋体" w:cs="宋体"/>
                <w:color w:val="000000"/>
                <w:szCs w:val="21"/>
              </w:rPr>
              <w:t>900 g·L</w:t>
            </w:r>
            <w:r>
              <w:rPr>
                <w:rFonts w:ascii="宋体" w:hAnsi="宋体" w:cs="宋体"/>
                <w:color w:val="000000"/>
                <w:szCs w:val="21"/>
                <w:vertAlign w:val="superscript"/>
              </w:rPr>
              <w:t>-1</w:t>
            </w:r>
            <w:r>
              <w:rPr>
                <w:rFonts w:hint="eastAsia" w:ascii="宋体" w:hAnsi="宋体" w:cs="宋体"/>
                <w:color w:val="000000"/>
                <w:szCs w:val="21"/>
              </w:rPr>
              <w:t xml:space="preserve"> 2，4-滴异辛酯乳油</w:t>
            </w:r>
            <w:r>
              <w:rPr>
                <w:rFonts w:ascii="宋体" w:hAnsi="宋体" w:cs="宋体"/>
                <w:color w:val="000000"/>
                <w:szCs w:val="21"/>
              </w:rPr>
              <w:t>67</w:t>
            </w:r>
            <w:r>
              <w:rPr>
                <w:rFonts w:hint="eastAsia" w:ascii="宋体" w:hAnsi="宋体" w:cs="宋体"/>
                <w:color w:val="000000"/>
                <w:szCs w:val="21"/>
              </w:rPr>
              <w:t>5 m</w:t>
            </w:r>
            <w:r>
              <w:rPr>
                <w:rFonts w:ascii="宋体" w:hAnsi="宋体" w:cs="宋体"/>
                <w:color w:val="000000"/>
                <w:szCs w:val="21"/>
              </w:rPr>
              <w:t>L</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r>
              <w:rPr>
                <w:rFonts w:hint="eastAsia" w:ascii="宋体" w:hAnsi="宋体" w:cs="宋体"/>
                <w:color w:val="000000"/>
                <w:szCs w:val="21"/>
              </w:rPr>
              <w:t>+10%苯磺隆可湿性粉剂</w:t>
            </w:r>
            <w:r>
              <w:rPr>
                <w:rFonts w:ascii="宋体" w:hAnsi="宋体" w:cs="宋体"/>
                <w:color w:val="000000"/>
                <w:szCs w:val="21"/>
              </w:rPr>
              <w:t>165</w:t>
            </w:r>
            <w:r>
              <w:rPr>
                <w:rFonts w:hint="eastAsia" w:ascii="宋体" w:hAnsi="宋体" w:cs="宋体"/>
                <w:color w:val="000000"/>
                <w:szCs w:val="21"/>
              </w:rPr>
              <w:t xml:space="preserve"> g</w:t>
            </w:r>
            <w:r>
              <w:rPr>
                <w:rFonts w:hint="eastAsia" w:ascii="宋体" w:hAnsi="宋体" w:cs="宋体"/>
                <w:color w:val="333333"/>
                <w:sz w:val="28"/>
                <w:szCs w:val="28"/>
                <w:shd w:val="clear" w:color="auto" w:fill="FFFFFF"/>
              </w:rPr>
              <w:t>·</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p>
        </w:tc>
      </w:tr>
      <w:tr>
        <w:tblPrEx>
          <w:tblCellMar>
            <w:top w:w="0" w:type="dxa"/>
            <w:left w:w="108" w:type="dxa"/>
            <w:bottom w:w="0" w:type="dxa"/>
            <w:right w:w="108" w:type="dxa"/>
          </w:tblCellMar>
        </w:tblPrEx>
        <w:trPr>
          <w:trHeight w:val="312" w:hRule="atLeast"/>
          <w:jc w:val="center"/>
        </w:trPr>
        <w:tc>
          <w:tcPr>
            <w:tcW w:w="282"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ascii="宋体" w:hAnsi="宋体" w:cs="宋体"/>
                <w:color w:val="000000"/>
                <w:szCs w:val="21"/>
              </w:rPr>
            </w:pPr>
            <w:r>
              <w:rPr>
                <w:rFonts w:hint="eastAsia" w:ascii="宋体" w:hAnsi="宋体" w:cs="宋体"/>
                <w:color w:val="000000"/>
                <w:szCs w:val="21"/>
              </w:rPr>
              <w:t>CK</w:t>
            </w:r>
          </w:p>
        </w:tc>
        <w:tc>
          <w:tcPr>
            <w:tcW w:w="1800" w:type="pct"/>
            <w:tcBorders>
              <w:top w:val="nil"/>
              <w:left w:val="nil"/>
              <w:bottom w:val="single" w:color="000000" w:sz="12" w:space="0"/>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小麦苗后、大豆出苗前全田喷雾</w:t>
            </w:r>
          </w:p>
        </w:tc>
        <w:tc>
          <w:tcPr>
            <w:tcW w:w="2916" w:type="pct"/>
            <w:tcBorders>
              <w:top w:val="nil"/>
              <w:left w:val="nil"/>
              <w:bottom w:val="single" w:color="000000" w:sz="12" w:space="0"/>
              <w:right w:val="nil"/>
            </w:tcBorders>
            <w:noWrap w:val="0"/>
            <w:vAlign w:val="center"/>
          </w:tcPr>
          <w:p>
            <w:pPr>
              <w:keepNext w:val="0"/>
              <w:keepLines w:val="0"/>
              <w:pageBreakBefore w:val="0"/>
              <w:widowControl/>
              <w:kinsoku/>
              <w:wordWrap/>
              <w:overflowPunct/>
              <w:topLinePunct w:val="0"/>
              <w:autoSpaceDE/>
              <w:autoSpaceDN/>
              <w:bidi w:val="0"/>
              <w:adjustRightInd/>
              <w:snapToGrid/>
              <w:spacing w:line="240" w:lineRule="exact"/>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清水</w:t>
            </w:r>
          </w:p>
        </w:tc>
      </w:tr>
    </w:tbl>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eastAsia="zh-CN"/>
        </w:rPr>
        <w:t>1.</w:t>
      </w:r>
      <w:r>
        <w:rPr>
          <w:rFonts w:hint="eastAsia" w:ascii="Times New Roman" w:hAnsi="Times New Roman" w:eastAsia="仿宋_GB2312" w:cs="Times New Roman"/>
          <w:b/>
          <w:bCs/>
          <w:sz w:val="32"/>
          <w:szCs w:val="32"/>
          <w:lang w:val="en-US" w:eastAsia="zh-CN"/>
        </w:rPr>
        <w:t>2</w:t>
      </w:r>
      <w:r>
        <w:rPr>
          <w:rFonts w:hint="eastAsia" w:ascii="Times New Roman" w:hAnsi="Times New Roman" w:eastAsia="仿宋_GB2312" w:cs="Times New Roman"/>
          <w:b/>
          <w:bCs/>
          <w:sz w:val="32"/>
          <w:szCs w:val="32"/>
          <w:lang w:eastAsia="zh-CN"/>
        </w:rPr>
        <w:t xml:space="preserve"> 安全性分析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经田间观察，两个试验点大豆、小麦出苗后7、15 d均出苗整齐，株高、叶龄及根系发育等情况正常，无矮化、枯斑、黄化、畸形等药害症状，表明各药剂组合处理对小麦、大豆苗期植株生长均无影响，无安全风险。</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b/>
          <w:bCs/>
          <w:sz w:val="32"/>
          <w:szCs w:val="32"/>
          <w:lang w:eastAsia="zh-CN"/>
        </w:rPr>
      </w:pPr>
      <w:r>
        <w:rPr>
          <w:rFonts w:hint="eastAsia" w:ascii="Times New Roman" w:hAnsi="Times New Roman" w:eastAsia="仿宋_GB2312" w:cs="Times New Roman"/>
          <w:b/>
          <w:bCs/>
          <w:sz w:val="32"/>
          <w:szCs w:val="32"/>
          <w:lang w:val="en-US" w:eastAsia="zh-CN"/>
        </w:rPr>
        <w:t>1.3</w:t>
      </w:r>
      <w:r>
        <w:rPr>
          <w:rFonts w:hint="eastAsia" w:ascii="Times New Roman" w:hAnsi="Times New Roman" w:eastAsia="仿宋_GB2312" w:cs="Times New Roman"/>
          <w:b/>
          <w:bCs/>
          <w:sz w:val="32"/>
          <w:szCs w:val="32"/>
          <w:lang w:eastAsia="zh-CN"/>
        </w:rPr>
        <w:t xml:space="preserve"> 防效分析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由表</w:t>
      </w:r>
      <w:r>
        <w:rPr>
          <w:rFonts w:hint="eastAsia"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可知，5种不同药剂组合处理在药后7、15、30 d的平均株防效均有显著性差异（</w:t>
      </w:r>
      <w:r>
        <w:rPr>
          <w:rFonts w:hint="default" w:ascii="Times New Roman" w:hAnsi="Times New Roman" w:eastAsia="仿宋_GB2312" w:cs="Times New Roman"/>
          <w:i/>
          <w:color w:val="000000"/>
          <w:kern w:val="0"/>
          <w:sz w:val="32"/>
          <w:szCs w:val="32"/>
        </w:rPr>
        <w:t>P</w:t>
      </w:r>
      <w:r>
        <w:rPr>
          <w:rFonts w:hint="default" w:ascii="Times New Roman" w:hAnsi="Times New Roman" w:eastAsia="仿宋_GB2312" w:cs="Times New Roman"/>
          <w:color w:val="000000"/>
          <w:kern w:val="0"/>
          <w:sz w:val="32"/>
          <w:szCs w:val="32"/>
        </w:rPr>
        <w:t>＜0.05）。在</w:t>
      </w:r>
      <w:r>
        <w:rPr>
          <w:rFonts w:hint="default" w:ascii="Times New Roman" w:hAnsi="Times New Roman" w:eastAsia="仿宋_GB2312" w:cs="Times New Roman"/>
          <w:kern w:val="0"/>
          <w:sz w:val="32"/>
          <w:szCs w:val="32"/>
        </w:rPr>
        <w:t>试</w:t>
      </w:r>
      <w:r>
        <w:rPr>
          <w:rFonts w:hint="default" w:ascii="Times New Roman" w:hAnsi="Times New Roman" w:eastAsia="仿宋_GB2312" w:cs="Times New Roman"/>
          <w:color w:val="000000"/>
          <w:kern w:val="0"/>
          <w:sz w:val="32"/>
          <w:szCs w:val="32"/>
        </w:rPr>
        <w:t xml:space="preserve">验点Ⅰ，药后7 d 24%炔草酯乳油+900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kern w:val="0"/>
          <w:sz w:val="32"/>
          <w:szCs w:val="32"/>
        </w:rPr>
        <w:t xml:space="preserve">2，4-滴异辛酯乳油处理（C处理）株防效最大为59.1%，药后15、30 d 900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kern w:val="0"/>
          <w:sz w:val="32"/>
          <w:szCs w:val="32"/>
        </w:rPr>
        <w:t>2，4-滴异辛酯乳油+10%苯磺隆可湿性粉剂处理（E处理）株防效均最大，分别为94.3%、97.1%，且与其他处理间存在显著差异。在</w:t>
      </w:r>
      <w:r>
        <w:rPr>
          <w:rFonts w:hint="default" w:ascii="Times New Roman" w:hAnsi="Times New Roman" w:eastAsia="仿宋_GB2312" w:cs="Times New Roman"/>
          <w:kern w:val="0"/>
          <w:sz w:val="32"/>
          <w:szCs w:val="32"/>
        </w:rPr>
        <w:t>试</w:t>
      </w:r>
      <w:r>
        <w:rPr>
          <w:rFonts w:hint="default" w:ascii="Times New Roman" w:hAnsi="Times New Roman" w:eastAsia="仿宋_GB2312" w:cs="Times New Roman"/>
          <w:color w:val="000000"/>
          <w:kern w:val="0"/>
          <w:sz w:val="32"/>
          <w:szCs w:val="32"/>
        </w:rPr>
        <w:t xml:space="preserve">验点Ⅱ，药后7 d 69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kern w:val="0"/>
          <w:sz w:val="32"/>
          <w:szCs w:val="32"/>
        </w:rPr>
        <w:t xml:space="preserve">精噁唑禾草灵水乳剂+10%苯磺隆可湿性粉剂处理（D处理）株防效最大为59.4%，药后15 d小麦田施用24%炔草酯乳油+900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kern w:val="0"/>
          <w:sz w:val="32"/>
          <w:szCs w:val="32"/>
        </w:rPr>
        <w:t xml:space="preserve"> 2，4-滴异辛酯乳油、大豆田施用108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kern w:val="0"/>
          <w:sz w:val="32"/>
          <w:szCs w:val="32"/>
        </w:rPr>
        <w:t xml:space="preserve">高效氟吡甲禾灵乳油+480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kern w:val="0"/>
          <w:sz w:val="32"/>
          <w:szCs w:val="32"/>
        </w:rPr>
        <w:t>灭草松水剂+250 g·L</w:t>
      </w:r>
      <w:r>
        <w:rPr>
          <w:rFonts w:hint="default" w:ascii="Times New Roman" w:hAnsi="Times New Roman" w:eastAsia="仿宋_GB2312" w:cs="Times New Roman"/>
          <w:color w:val="000000"/>
          <w:kern w:val="0"/>
          <w:sz w:val="32"/>
          <w:szCs w:val="32"/>
          <w:vertAlign w:val="superscript"/>
        </w:rPr>
        <w:t>-1</w:t>
      </w:r>
      <w:r>
        <w:rPr>
          <w:rFonts w:hint="default" w:ascii="Times New Roman" w:hAnsi="Times New Roman" w:eastAsia="仿宋_GB2312" w:cs="Times New Roman"/>
          <w:color w:val="000000"/>
          <w:kern w:val="0"/>
          <w:sz w:val="32"/>
          <w:szCs w:val="32"/>
        </w:rPr>
        <w:t xml:space="preserve">氟磺胺草醚水剂处理（A处理）株防效最大为90.7%，药后30 d 900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color w:val="000000"/>
          <w:kern w:val="0"/>
          <w:sz w:val="32"/>
          <w:szCs w:val="32"/>
        </w:rPr>
        <w:t>2，4-滴异辛酯乳油+10%苯磺隆可湿性粉剂处理（E处理）株防效最大为89.1%。</w:t>
      </w:r>
    </w:p>
    <w:p>
      <w:pPr>
        <w:spacing w:before="156" w:beforeLines="50" w:after="156" w:afterLines="50"/>
        <w:jc w:val="center"/>
        <w:rPr>
          <w:rFonts w:ascii="宋体" w:hAnsi="宋体" w:cs="宋体"/>
          <w:b/>
          <w:bCs/>
          <w:color w:val="000000"/>
          <w:kern w:val="0"/>
          <w:szCs w:val="21"/>
        </w:rPr>
      </w:pPr>
      <w:r>
        <w:rPr>
          <w:rFonts w:hint="eastAsia" w:ascii="宋体" w:hAnsi="宋体" w:cs="宋体"/>
          <w:b/>
          <w:bCs/>
          <w:color w:val="000000"/>
          <w:kern w:val="0"/>
          <w:szCs w:val="21"/>
        </w:rPr>
        <w:t>表</w:t>
      </w:r>
      <w:r>
        <w:rPr>
          <w:rFonts w:hint="eastAsia" w:ascii="宋体" w:hAnsi="宋体" w:cs="宋体"/>
          <w:b/>
          <w:bCs/>
          <w:color w:val="000000"/>
          <w:kern w:val="0"/>
          <w:szCs w:val="21"/>
          <w:lang w:val="en-US" w:eastAsia="zh-CN"/>
        </w:rPr>
        <w:t>4</w:t>
      </w:r>
      <w:r>
        <w:rPr>
          <w:rFonts w:hint="eastAsia" w:ascii="宋体" w:hAnsi="宋体" w:cs="宋体"/>
          <w:b/>
          <w:bCs/>
          <w:color w:val="000000"/>
          <w:kern w:val="0"/>
          <w:szCs w:val="21"/>
        </w:rPr>
        <w:t xml:space="preserve">  各药剂</w:t>
      </w:r>
      <w:r>
        <w:rPr>
          <w:rFonts w:ascii="宋体" w:hAnsi="宋体" w:cs="宋体"/>
          <w:b/>
          <w:bCs/>
          <w:color w:val="000000"/>
          <w:kern w:val="0"/>
          <w:szCs w:val="21"/>
        </w:rPr>
        <w:t>组合</w:t>
      </w:r>
      <w:r>
        <w:rPr>
          <w:rFonts w:hint="eastAsia" w:ascii="宋体" w:hAnsi="宋体" w:cs="宋体"/>
          <w:b/>
          <w:bCs/>
          <w:color w:val="000000"/>
          <w:kern w:val="0"/>
          <w:szCs w:val="21"/>
        </w:rPr>
        <w:t>处理药后7、15、30</w:t>
      </w:r>
      <w:r>
        <w:rPr>
          <w:rFonts w:ascii="宋体" w:hAnsi="宋体" w:cs="宋体"/>
          <w:b/>
          <w:bCs/>
          <w:color w:val="000000"/>
          <w:kern w:val="0"/>
          <w:szCs w:val="21"/>
        </w:rPr>
        <w:t xml:space="preserve"> </w:t>
      </w:r>
      <w:r>
        <w:rPr>
          <w:rFonts w:hint="eastAsia" w:ascii="宋体" w:hAnsi="宋体" w:cs="宋体"/>
          <w:b/>
          <w:bCs/>
          <w:color w:val="000000"/>
          <w:kern w:val="0"/>
          <w:szCs w:val="21"/>
        </w:rPr>
        <w:t xml:space="preserve">d株防效      </w:t>
      </w:r>
      <w:r>
        <w:rPr>
          <w:rFonts w:ascii="宋体" w:hAnsi="宋体" w:cs="宋体"/>
          <w:b/>
          <w:bCs/>
          <w:color w:val="000000"/>
          <w:kern w:val="0"/>
          <w:szCs w:val="21"/>
        </w:rPr>
        <w:t xml:space="preserve">      </w:t>
      </w:r>
      <w:r>
        <w:rPr>
          <w:rFonts w:hint="eastAsia" w:ascii="宋体" w:hAnsi="宋体" w:cs="宋体"/>
          <w:b/>
          <w:bCs/>
          <w:color w:val="000000"/>
          <w:kern w:val="0"/>
          <w:szCs w:val="21"/>
        </w:rPr>
        <w:t xml:space="preserve">  </w:t>
      </w:r>
      <w:r>
        <w:rPr>
          <w:rFonts w:hint="eastAsia" w:ascii="宋体" w:hAnsi="宋体" w:cs="宋体"/>
          <w:b/>
          <w:bCs/>
          <w:color w:val="000000"/>
          <w:kern w:val="0"/>
          <w:szCs w:val="21"/>
          <w:lang w:eastAsia="zh-CN"/>
        </w:rPr>
        <w:t>单位：</w:t>
      </w:r>
      <w:r>
        <w:rPr>
          <w:rFonts w:hint="eastAsia" w:ascii="宋体" w:hAnsi="宋体" w:cs="宋体"/>
          <w:color w:val="000000"/>
          <w:kern w:val="0"/>
          <w:szCs w:val="21"/>
        </w:rPr>
        <w:t>%</w:t>
      </w:r>
    </w:p>
    <w:tbl>
      <w:tblPr>
        <w:tblStyle w:val="10"/>
        <w:tblW w:w="5185" w:type="pct"/>
        <w:jc w:val="center"/>
        <w:tblLayout w:type="fixed"/>
        <w:tblCellMar>
          <w:top w:w="0" w:type="dxa"/>
          <w:left w:w="108" w:type="dxa"/>
          <w:bottom w:w="0" w:type="dxa"/>
          <w:right w:w="108" w:type="dxa"/>
        </w:tblCellMar>
      </w:tblPr>
      <w:tblGrid>
        <w:gridCol w:w="395"/>
        <w:gridCol w:w="1509"/>
        <w:gridCol w:w="1528"/>
        <w:gridCol w:w="1591"/>
        <w:gridCol w:w="1455"/>
        <w:gridCol w:w="1425"/>
        <w:gridCol w:w="1377"/>
      </w:tblGrid>
      <w:tr>
        <w:tblPrEx>
          <w:tblCellMar>
            <w:top w:w="0" w:type="dxa"/>
            <w:left w:w="108" w:type="dxa"/>
            <w:bottom w:w="0" w:type="dxa"/>
            <w:right w:w="108" w:type="dxa"/>
          </w:tblCellMar>
        </w:tblPrEx>
        <w:trPr>
          <w:trHeight w:val="312" w:hRule="atLeast"/>
          <w:jc w:val="center"/>
        </w:trPr>
        <w:tc>
          <w:tcPr>
            <w:tcW w:w="212" w:type="pct"/>
            <w:vMerge w:val="restart"/>
            <w:tcBorders>
              <w:top w:val="single" w:color="000000" w:sz="12" w:space="0"/>
              <w:left w:val="nil"/>
              <w:bottom w:val="dotted"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kern w:val="0"/>
                <w:szCs w:val="21"/>
              </w:rPr>
              <w:t>处理</w:t>
            </w:r>
          </w:p>
        </w:tc>
        <w:tc>
          <w:tcPr>
            <w:tcW w:w="2493" w:type="pct"/>
            <w:gridSpan w:val="3"/>
            <w:tcBorders>
              <w:top w:val="single" w:color="000000" w:sz="12" w:space="0"/>
              <w:left w:val="nil"/>
              <w:bottom w:val="dotted"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kern w:val="0"/>
                <w:szCs w:val="21"/>
              </w:rPr>
            </w:pPr>
            <w:r>
              <w:rPr>
                <w:rFonts w:hint="eastAsia" w:ascii="宋体" w:hAnsi="宋体" w:cs="宋体"/>
                <w:color w:val="000000"/>
                <w:kern w:val="0"/>
                <w:szCs w:val="21"/>
              </w:rPr>
              <w:t>试验点Ⅰ</w:t>
            </w:r>
          </w:p>
        </w:tc>
        <w:tc>
          <w:tcPr>
            <w:tcW w:w="2294" w:type="pct"/>
            <w:gridSpan w:val="3"/>
            <w:tcBorders>
              <w:top w:val="single" w:color="000000" w:sz="12" w:space="0"/>
              <w:left w:val="nil"/>
              <w:bottom w:val="dotted" w:color="000000" w:sz="4" w:space="0"/>
              <w:right w:val="nil"/>
            </w:tcBorders>
            <w:noWrap/>
            <w:vAlign w:val="center"/>
          </w:tcPr>
          <w:p>
            <w:pPr>
              <w:widowControl/>
              <w:ind w:left="-53" w:leftChars="-25" w:right="-53" w:rightChars="-25"/>
              <w:jc w:val="center"/>
              <w:textAlignment w:val="center"/>
              <w:rPr>
                <w:rFonts w:hint="eastAsia" w:ascii="宋体" w:hAnsi="宋体" w:cs="宋体"/>
                <w:color w:val="000000"/>
                <w:kern w:val="0"/>
                <w:szCs w:val="21"/>
              </w:rPr>
            </w:pPr>
            <w:r>
              <w:rPr>
                <w:rFonts w:hint="eastAsia" w:ascii="宋体" w:hAnsi="宋体" w:cs="宋体"/>
                <w:color w:val="000000"/>
                <w:kern w:val="0"/>
                <w:szCs w:val="21"/>
              </w:rPr>
              <w:t>试验点Ⅱ</w:t>
            </w:r>
          </w:p>
        </w:tc>
      </w:tr>
      <w:tr>
        <w:tblPrEx>
          <w:tblCellMar>
            <w:top w:w="0" w:type="dxa"/>
            <w:left w:w="108" w:type="dxa"/>
            <w:bottom w:w="0" w:type="dxa"/>
            <w:right w:w="108" w:type="dxa"/>
          </w:tblCellMar>
        </w:tblPrEx>
        <w:trPr>
          <w:trHeight w:val="312" w:hRule="atLeast"/>
          <w:jc w:val="center"/>
        </w:trPr>
        <w:tc>
          <w:tcPr>
            <w:tcW w:w="212" w:type="pct"/>
            <w:vMerge w:val="continue"/>
            <w:tcBorders>
              <w:top w:val="dotted" w:color="000000" w:sz="4" w:space="0"/>
              <w:left w:val="nil"/>
              <w:bottom w:val="single" w:color="000000" w:sz="4" w:space="0"/>
              <w:right w:val="nil"/>
            </w:tcBorders>
            <w:noWrap w:val="0"/>
            <w:vAlign w:val="center"/>
          </w:tcPr>
          <w:p>
            <w:pPr>
              <w:ind w:left="-53" w:leftChars="-25" w:right="-53" w:rightChars="-25"/>
              <w:jc w:val="center"/>
              <w:rPr>
                <w:rFonts w:hint="eastAsia" w:ascii="宋体" w:hAnsi="宋体" w:cs="宋体"/>
                <w:color w:val="000000"/>
                <w:szCs w:val="21"/>
              </w:rPr>
            </w:pPr>
          </w:p>
        </w:tc>
        <w:tc>
          <w:tcPr>
            <w:tcW w:w="813" w:type="pct"/>
            <w:tcBorders>
              <w:top w:val="dotted" w:color="000000" w:sz="4" w:space="0"/>
              <w:left w:val="nil"/>
              <w:bottom w:val="single" w:color="000000" w:sz="4" w:space="0"/>
              <w:right w:val="nil"/>
            </w:tcBorders>
            <w:noWrap w:val="0"/>
            <w:vAlign w:val="center"/>
          </w:tcPr>
          <w:p>
            <w:pPr>
              <w:widowControl/>
              <w:ind w:left="-53" w:leftChars="-25" w:right="-53" w:rightChars="-25"/>
              <w:jc w:val="center"/>
              <w:textAlignment w:val="center"/>
              <w:rPr>
                <w:rFonts w:ascii="宋体" w:hAnsi="宋体" w:cs="宋体"/>
                <w:color w:val="000000"/>
                <w:szCs w:val="21"/>
              </w:rPr>
            </w:pPr>
            <w:r>
              <w:rPr>
                <w:rFonts w:hint="eastAsia" w:ascii="宋体" w:hAnsi="宋体" w:cs="宋体"/>
                <w:color w:val="000000"/>
                <w:kern w:val="0"/>
                <w:szCs w:val="21"/>
              </w:rPr>
              <w:t>药后7</w:t>
            </w:r>
            <w:r>
              <w:rPr>
                <w:rFonts w:ascii="宋体" w:hAnsi="宋体" w:cs="宋体"/>
                <w:color w:val="000000"/>
                <w:kern w:val="0"/>
                <w:szCs w:val="21"/>
              </w:rPr>
              <w:t xml:space="preserve"> </w:t>
            </w:r>
            <w:r>
              <w:rPr>
                <w:rFonts w:hint="eastAsia" w:ascii="宋体" w:hAnsi="宋体" w:cs="宋体"/>
                <w:color w:val="000000"/>
                <w:kern w:val="0"/>
                <w:szCs w:val="21"/>
              </w:rPr>
              <w:t>d</w:t>
            </w:r>
          </w:p>
        </w:tc>
        <w:tc>
          <w:tcPr>
            <w:tcW w:w="823" w:type="pct"/>
            <w:tcBorders>
              <w:top w:val="dotted" w:color="000000" w:sz="4" w:space="0"/>
              <w:left w:val="nil"/>
              <w:bottom w:val="single"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kern w:val="0"/>
                <w:szCs w:val="21"/>
              </w:rPr>
              <w:t>药后15</w:t>
            </w:r>
            <w:r>
              <w:rPr>
                <w:rFonts w:ascii="宋体" w:hAnsi="宋体" w:cs="宋体"/>
                <w:color w:val="000000"/>
                <w:kern w:val="0"/>
                <w:szCs w:val="21"/>
              </w:rPr>
              <w:t xml:space="preserve"> </w:t>
            </w:r>
            <w:r>
              <w:rPr>
                <w:rFonts w:hint="eastAsia" w:ascii="宋体" w:hAnsi="宋体" w:cs="宋体"/>
                <w:color w:val="000000"/>
                <w:kern w:val="0"/>
                <w:szCs w:val="21"/>
              </w:rPr>
              <w:t>d</w:t>
            </w:r>
          </w:p>
        </w:tc>
        <w:tc>
          <w:tcPr>
            <w:tcW w:w="856" w:type="pct"/>
            <w:tcBorders>
              <w:top w:val="dotted" w:color="000000" w:sz="4" w:space="0"/>
              <w:left w:val="nil"/>
              <w:bottom w:val="single" w:color="000000" w:sz="4" w:space="0"/>
              <w:right w:val="nil"/>
            </w:tcBorders>
            <w:noWrap/>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kern w:val="0"/>
                <w:szCs w:val="21"/>
              </w:rPr>
              <w:t>药后30</w:t>
            </w:r>
            <w:r>
              <w:rPr>
                <w:rFonts w:ascii="宋体" w:hAnsi="宋体" w:cs="宋体"/>
                <w:color w:val="000000"/>
                <w:kern w:val="0"/>
                <w:szCs w:val="21"/>
              </w:rPr>
              <w:t xml:space="preserve"> </w:t>
            </w:r>
            <w:r>
              <w:rPr>
                <w:rFonts w:hint="eastAsia" w:ascii="宋体" w:hAnsi="宋体" w:cs="宋体"/>
                <w:color w:val="000000"/>
                <w:kern w:val="0"/>
                <w:szCs w:val="21"/>
              </w:rPr>
              <w:t>d</w:t>
            </w:r>
          </w:p>
        </w:tc>
        <w:tc>
          <w:tcPr>
            <w:tcW w:w="784" w:type="pct"/>
            <w:tcBorders>
              <w:top w:val="dotted" w:color="000000" w:sz="4" w:space="0"/>
              <w:left w:val="nil"/>
              <w:bottom w:val="single"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kern w:val="0"/>
                <w:szCs w:val="21"/>
              </w:rPr>
              <w:t>药后7</w:t>
            </w:r>
            <w:r>
              <w:rPr>
                <w:rFonts w:ascii="宋体" w:hAnsi="宋体" w:cs="宋体"/>
                <w:color w:val="000000"/>
                <w:kern w:val="0"/>
                <w:szCs w:val="21"/>
              </w:rPr>
              <w:t xml:space="preserve"> </w:t>
            </w:r>
            <w:r>
              <w:rPr>
                <w:rFonts w:hint="eastAsia" w:ascii="宋体" w:hAnsi="宋体" w:cs="宋体"/>
                <w:color w:val="000000"/>
                <w:kern w:val="0"/>
                <w:szCs w:val="21"/>
              </w:rPr>
              <w:t>d</w:t>
            </w:r>
          </w:p>
        </w:tc>
        <w:tc>
          <w:tcPr>
            <w:tcW w:w="768" w:type="pct"/>
            <w:tcBorders>
              <w:top w:val="dotted" w:color="000000" w:sz="4" w:space="0"/>
              <w:left w:val="nil"/>
              <w:bottom w:val="single"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kern w:val="0"/>
                <w:szCs w:val="21"/>
              </w:rPr>
              <w:t>药后15</w:t>
            </w:r>
            <w:r>
              <w:rPr>
                <w:rFonts w:ascii="宋体" w:hAnsi="宋体" w:cs="宋体"/>
                <w:color w:val="000000"/>
                <w:kern w:val="0"/>
                <w:szCs w:val="21"/>
              </w:rPr>
              <w:t xml:space="preserve"> </w:t>
            </w:r>
            <w:r>
              <w:rPr>
                <w:rFonts w:hint="eastAsia" w:ascii="宋体" w:hAnsi="宋体" w:cs="宋体"/>
                <w:color w:val="000000"/>
                <w:kern w:val="0"/>
                <w:szCs w:val="21"/>
              </w:rPr>
              <w:t>d</w:t>
            </w:r>
          </w:p>
        </w:tc>
        <w:tc>
          <w:tcPr>
            <w:tcW w:w="741" w:type="pct"/>
            <w:tcBorders>
              <w:top w:val="dotted" w:color="000000" w:sz="4" w:space="0"/>
              <w:left w:val="nil"/>
              <w:bottom w:val="single" w:color="000000" w:sz="4"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kern w:val="0"/>
                <w:szCs w:val="21"/>
              </w:rPr>
              <w:t>药后30</w:t>
            </w:r>
            <w:r>
              <w:rPr>
                <w:rFonts w:ascii="宋体" w:hAnsi="宋体" w:cs="宋体"/>
                <w:color w:val="000000"/>
                <w:kern w:val="0"/>
                <w:szCs w:val="21"/>
              </w:rPr>
              <w:t xml:space="preserve"> </w:t>
            </w:r>
            <w:r>
              <w:rPr>
                <w:rFonts w:hint="eastAsia" w:ascii="宋体" w:hAnsi="宋体" w:cs="宋体"/>
                <w:color w:val="000000"/>
                <w:kern w:val="0"/>
                <w:szCs w:val="21"/>
              </w:rPr>
              <w:t>d</w:t>
            </w:r>
          </w:p>
        </w:tc>
      </w:tr>
      <w:tr>
        <w:tblPrEx>
          <w:tblCellMar>
            <w:top w:w="0" w:type="dxa"/>
            <w:left w:w="108" w:type="dxa"/>
            <w:bottom w:w="0" w:type="dxa"/>
            <w:right w:w="108" w:type="dxa"/>
          </w:tblCellMar>
        </w:tblPrEx>
        <w:trPr>
          <w:trHeight w:val="312" w:hRule="atLeast"/>
          <w:jc w:val="center"/>
        </w:trPr>
        <w:tc>
          <w:tcPr>
            <w:tcW w:w="212" w:type="pct"/>
            <w:tcBorders>
              <w:top w:val="single" w:color="000000" w:sz="4" w:space="0"/>
              <w:left w:val="nil"/>
              <w:bottom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A</w:t>
            </w:r>
          </w:p>
        </w:tc>
        <w:tc>
          <w:tcPr>
            <w:tcW w:w="813" w:type="pct"/>
            <w:tcBorders>
              <w:top w:val="single" w:color="000000" w:sz="4" w:space="0"/>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42</w:t>
            </w:r>
            <w:r>
              <w:rPr>
                <w:rFonts w:ascii="宋体" w:hAnsi="宋体" w:cs="宋体"/>
                <w:color w:val="000000"/>
                <w:spacing w:val="-20"/>
                <w:szCs w:val="21"/>
              </w:rPr>
              <w:t>.0</w:t>
            </w:r>
            <w:r>
              <w:rPr>
                <w:rFonts w:hint="eastAsia" w:ascii="宋体" w:hAnsi="宋体" w:cs="宋体"/>
                <w:color w:val="000000"/>
                <w:spacing w:val="-20"/>
                <w:szCs w:val="21"/>
              </w:rPr>
              <w:t>±3.4</w:t>
            </w:r>
            <w:r>
              <w:rPr>
                <w:rFonts w:ascii="宋体" w:hAnsi="宋体" w:cs="宋体"/>
                <w:color w:val="000000"/>
                <w:spacing w:val="-20"/>
                <w:szCs w:val="21"/>
              </w:rPr>
              <w:t>0</w:t>
            </w:r>
            <w:r>
              <w:rPr>
                <w:rFonts w:hint="eastAsia" w:ascii="宋体" w:hAnsi="宋体" w:cs="宋体"/>
                <w:color w:val="000000"/>
                <w:spacing w:val="-20"/>
                <w:szCs w:val="21"/>
              </w:rPr>
              <w:t xml:space="preserve"> </w:t>
            </w:r>
            <w:r>
              <w:rPr>
                <w:rFonts w:hint="eastAsia" w:ascii="宋体" w:hAnsi="宋体" w:cs="宋体"/>
                <w:color w:val="000000"/>
                <w:spacing w:val="-20"/>
                <w:szCs w:val="21"/>
                <w:vertAlign w:val="superscript"/>
              </w:rPr>
              <w:t>ab</w:t>
            </w:r>
          </w:p>
        </w:tc>
        <w:tc>
          <w:tcPr>
            <w:tcW w:w="823" w:type="pct"/>
            <w:tcBorders>
              <w:top w:val="single" w:color="000000" w:sz="4" w:space="0"/>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54.7±25.97 </w:t>
            </w:r>
            <w:r>
              <w:rPr>
                <w:rFonts w:hint="eastAsia" w:ascii="宋体" w:hAnsi="宋体" w:cs="宋体"/>
                <w:color w:val="000000"/>
                <w:spacing w:val="-20"/>
                <w:szCs w:val="21"/>
                <w:vertAlign w:val="superscript"/>
              </w:rPr>
              <w:t>c</w:t>
            </w:r>
          </w:p>
        </w:tc>
        <w:tc>
          <w:tcPr>
            <w:tcW w:w="856" w:type="pct"/>
            <w:tcBorders>
              <w:top w:val="single" w:color="000000" w:sz="4" w:space="0"/>
              <w:left w:val="nil"/>
              <w:bottom w:val="nil"/>
              <w:right w:val="nil"/>
            </w:tcBorders>
            <w:noWrap/>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54.3±19.80 </w:t>
            </w:r>
            <w:r>
              <w:rPr>
                <w:rFonts w:hint="eastAsia" w:ascii="宋体" w:hAnsi="宋体" w:cs="宋体"/>
                <w:color w:val="000000"/>
                <w:spacing w:val="-20"/>
                <w:szCs w:val="21"/>
                <w:vertAlign w:val="superscript"/>
              </w:rPr>
              <w:t>c</w:t>
            </w:r>
          </w:p>
        </w:tc>
        <w:tc>
          <w:tcPr>
            <w:tcW w:w="784" w:type="pct"/>
            <w:tcBorders>
              <w:top w:val="single" w:color="000000" w:sz="4" w:space="0"/>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57.1±5.39 </w:t>
            </w:r>
            <w:r>
              <w:rPr>
                <w:rFonts w:hint="eastAsia" w:ascii="宋体" w:hAnsi="宋体" w:cs="宋体"/>
                <w:color w:val="000000"/>
                <w:spacing w:val="-20"/>
                <w:szCs w:val="21"/>
                <w:vertAlign w:val="superscript"/>
              </w:rPr>
              <w:t>a</w:t>
            </w:r>
          </w:p>
        </w:tc>
        <w:tc>
          <w:tcPr>
            <w:tcW w:w="768" w:type="pct"/>
            <w:tcBorders>
              <w:top w:val="single" w:color="000000" w:sz="4" w:space="0"/>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90.7±1.08 </w:t>
            </w:r>
            <w:r>
              <w:rPr>
                <w:rFonts w:hint="eastAsia" w:ascii="宋体" w:hAnsi="宋体" w:cs="宋体"/>
                <w:color w:val="000000"/>
                <w:spacing w:val="-20"/>
                <w:szCs w:val="21"/>
                <w:vertAlign w:val="superscript"/>
              </w:rPr>
              <w:t>a</w:t>
            </w:r>
          </w:p>
        </w:tc>
        <w:tc>
          <w:tcPr>
            <w:tcW w:w="741" w:type="pct"/>
            <w:tcBorders>
              <w:top w:val="single" w:color="000000" w:sz="4" w:space="0"/>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86.5±0.76 </w:t>
            </w:r>
            <w:r>
              <w:rPr>
                <w:rFonts w:hint="eastAsia" w:ascii="宋体" w:hAnsi="宋体" w:cs="宋体"/>
                <w:color w:val="000000"/>
                <w:spacing w:val="-20"/>
                <w:szCs w:val="21"/>
                <w:vertAlign w:val="superscript"/>
              </w:rPr>
              <w:t>a</w:t>
            </w:r>
          </w:p>
        </w:tc>
      </w:tr>
      <w:tr>
        <w:tblPrEx>
          <w:tblCellMar>
            <w:top w:w="0" w:type="dxa"/>
            <w:left w:w="108" w:type="dxa"/>
            <w:bottom w:w="0" w:type="dxa"/>
            <w:right w:w="108" w:type="dxa"/>
          </w:tblCellMar>
        </w:tblPrEx>
        <w:trPr>
          <w:trHeight w:val="312" w:hRule="atLeast"/>
          <w:jc w:val="center"/>
        </w:trPr>
        <w:tc>
          <w:tcPr>
            <w:tcW w:w="212" w:type="pct"/>
            <w:tcBorders>
              <w:top w:val="nil"/>
              <w:left w:val="nil"/>
              <w:bottom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B</w:t>
            </w:r>
          </w:p>
        </w:tc>
        <w:tc>
          <w:tcPr>
            <w:tcW w:w="813"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21.6±10.2</w:t>
            </w:r>
            <w:r>
              <w:rPr>
                <w:rFonts w:ascii="宋体" w:hAnsi="宋体" w:cs="宋体"/>
                <w:color w:val="000000"/>
                <w:spacing w:val="-20"/>
                <w:szCs w:val="21"/>
              </w:rPr>
              <w:t>0</w:t>
            </w:r>
            <w:r>
              <w:rPr>
                <w:rFonts w:hint="eastAsia" w:ascii="宋体" w:hAnsi="宋体" w:cs="宋体"/>
                <w:color w:val="000000"/>
                <w:spacing w:val="-20"/>
                <w:szCs w:val="21"/>
              </w:rPr>
              <w:t xml:space="preserve"> </w:t>
            </w:r>
            <w:r>
              <w:rPr>
                <w:rFonts w:hint="eastAsia" w:ascii="宋体" w:hAnsi="宋体" w:cs="宋体"/>
                <w:color w:val="000000"/>
                <w:spacing w:val="-20"/>
                <w:szCs w:val="21"/>
                <w:vertAlign w:val="superscript"/>
              </w:rPr>
              <w:t>bc</w:t>
            </w:r>
          </w:p>
        </w:tc>
        <w:tc>
          <w:tcPr>
            <w:tcW w:w="823"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83</w:t>
            </w:r>
            <w:r>
              <w:rPr>
                <w:rFonts w:ascii="宋体" w:hAnsi="宋体" w:cs="宋体"/>
                <w:color w:val="000000"/>
                <w:spacing w:val="-20"/>
                <w:szCs w:val="21"/>
              </w:rPr>
              <w:t>.0</w:t>
            </w:r>
            <w:r>
              <w:rPr>
                <w:rFonts w:hint="eastAsia" w:ascii="宋体" w:hAnsi="宋体" w:cs="宋体"/>
                <w:color w:val="000000"/>
                <w:spacing w:val="-20"/>
                <w:szCs w:val="21"/>
              </w:rPr>
              <w:t xml:space="preserve">±5.65 </w:t>
            </w:r>
            <w:r>
              <w:rPr>
                <w:rFonts w:hint="eastAsia" w:ascii="宋体" w:hAnsi="宋体" w:cs="宋体"/>
                <w:color w:val="000000"/>
                <w:spacing w:val="-20"/>
                <w:szCs w:val="21"/>
                <w:vertAlign w:val="superscript"/>
              </w:rPr>
              <w:t>b</w:t>
            </w:r>
          </w:p>
        </w:tc>
        <w:tc>
          <w:tcPr>
            <w:tcW w:w="856" w:type="pct"/>
            <w:tcBorders>
              <w:top w:val="nil"/>
              <w:left w:val="nil"/>
              <w:bottom w:val="nil"/>
              <w:right w:val="nil"/>
            </w:tcBorders>
            <w:noWrap/>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74.3±17.15 </w:t>
            </w:r>
            <w:r>
              <w:rPr>
                <w:rFonts w:hint="eastAsia" w:ascii="宋体" w:hAnsi="宋体" w:cs="宋体"/>
                <w:color w:val="000000"/>
                <w:spacing w:val="-20"/>
                <w:szCs w:val="21"/>
                <w:vertAlign w:val="superscript"/>
              </w:rPr>
              <w:t>bc</w:t>
            </w:r>
          </w:p>
        </w:tc>
        <w:tc>
          <w:tcPr>
            <w:tcW w:w="784"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54.8±6.40 </w:t>
            </w:r>
            <w:r>
              <w:rPr>
                <w:rFonts w:hint="eastAsia" w:ascii="宋体" w:hAnsi="宋体" w:cs="宋体"/>
                <w:color w:val="000000"/>
                <w:spacing w:val="-20"/>
                <w:szCs w:val="21"/>
                <w:vertAlign w:val="superscript"/>
              </w:rPr>
              <w:t>ab</w:t>
            </w:r>
          </w:p>
        </w:tc>
        <w:tc>
          <w:tcPr>
            <w:tcW w:w="768"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88.1±0.96 </w:t>
            </w:r>
            <w:r>
              <w:rPr>
                <w:rFonts w:hint="eastAsia" w:ascii="宋体" w:hAnsi="宋体" w:cs="宋体"/>
                <w:color w:val="000000"/>
                <w:spacing w:val="-20"/>
                <w:szCs w:val="21"/>
                <w:vertAlign w:val="superscript"/>
              </w:rPr>
              <w:t>a</w:t>
            </w:r>
          </w:p>
        </w:tc>
        <w:tc>
          <w:tcPr>
            <w:tcW w:w="741"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88.6±1.02 </w:t>
            </w:r>
            <w:r>
              <w:rPr>
                <w:rFonts w:hint="eastAsia" w:ascii="宋体" w:hAnsi="宋体" w:cs="宋体"/>
                <w:color w:val="000000"/>
                <w:spacing w:val="-20"/>
                <w:szCs w:val="21"/>
                <w:vertAlign w:val="superscript"/>
              </w:rPr>
              <w:t>a</w:t>
            </w:r>
          </w:p>
        </w:tc>
      </w:tr>
      <w:tr>
        <w:tblPrEx>
          <w:tblCellMar>
            <w:top w:w="0" w:type="dxa"/>
            <w:left w:w="108" w:type="dxa"/>
            <w:bottom w:w="0" w:type="dxa"/>
            <w:right w:w="108" w:type="dxa"/>
          </w:tblCellMar>
        </w:tblPrEx>
        <w:trPr>
          <w:trHeight w:val="312" w:hRule="atLeast"/>
          <w:jc w:val="center"/>
        </w:trPr>
        <w:tc>
          <w:tcPr>
            <w:tcW w:w="212" w:type="pct"/>
            <w:tcBorders>
              <w:top w:val="nil"/>
              <w:left w:val="nil"/>
              <w:bottom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C</w:t>
            </w:r>
          </w:p>
        </w:tc>
        <w:tc>
          <w:tcPr>
            <w:tcW w:w="813"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59.1±13.6</w:t>
            </w:r>
            <w:r>
              <w:rPr>
                <w:rFonts w:ascii="宋体" w:hAnsi="宋体" w:cs="宋体"/>
                <w:color w:val="000000"/>
                <w:spacing w:val="-20"/>
                <w:szCs w:val="21"/>
              </w:rPr>
              <w:t>0</w:t>
            </w:r>
            <w:r>
              <w:rPr>
                <w:rFonts w:hint="eastAsia" w:ascii="宋体" w:hAnsi="宋体" w:cs="宋体"/>
                <w:color w:val="000000"/>
                <w:spacing w:val="-20"/>
                <w:szCs w:val="21"/>
              </w:rPr>
              <w:t xml:space="preserve"> </w:t>
            </w:r>
            <w:r>
              <w:rPr>
                <w:rFonts w:hint="eastAsia" w:ascii="宋体" w:hAnsi="宋体" w:cs="宋体"/>
                <w:color w:val="000000"/>
                <w:spacing w:val="-20"/>
                <w:szCs w:val="21"/>
                <w:vertAlign w:val="superscript"/>
              </w:rPr>
              <w:t>a</w:t>
            </w:r>
          </w:p>
        </w:tc>
        <w:tc>
          <w:tcPr>
            <w:tcW w:w="823"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88.7±9.81 </w:t>
            </w:r>
            <w:r>
              <w:rPr>
                <w:rFonts w:hint="eastAsia" w:ascii="宋体" w:hAnsi="宋体" w:cs="宋体"/>
                <w:color w:val="000000"/>
                <w:spacing w:val="-20"/>
                <w:szCs w:val="21"/>
                <w:vertAlign w:val="superscript"/>
              </w:rPr>
              <w:t>ab</w:t>
            </w:r>
          </w:p>
        </w:tc>
        <w:tc>
          <w:tcPr>
            <w:tcW w:w="856" w:type="pct"/>
            <w:tcBorders>
              <w:top w:val="nil"/>
              <w:left w:val="nil"/>
              <w:bottom w:val="nil"/>
              <w:right w:val="nil"/>
            </w:tcBorders>
            <w:noWrap/>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94.3±4.97 </w:t>
            </w:r>
            <w:r>
              <w:rPr>
                <w:rFonts w:hint="eastAsia" w:ascii="宋体" w:hAnsi="宋体" w:cs="宋体"/>
                <w:color w:val="000000"/>
                <w:spacing w:val="-20"/>
                <w:szCs w:val="21"/>
                <w:vertAlign w:val="superscript"/>
              </w:rPr>
              <w:t>ab</w:t>
            </w:r>
          </w:p>
        </w:tc>
        <w:tc>
          <w:tcPr>
            <w:tcW w:w="784"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49.6±24.40 </w:t>
            </w:r>
            <w:r>
              <w:rPr>
                <w:rFonts w:hint="eastAsia" w:ascii="宋体" w:hAnsi="宋体" w:cs="宋体"/>
                <w:color w:val="000000"/>
                <w:spacing w:val="-20"/>
                <w:szCs w:val="21"/>
                <w:vertAlign w:val="superscript"/>
              </w:rPr>
              <w:t>b</w:t>
            </w:r>
          </w:p>
        </w:tc>
        <w:tc>
          <w:tcPr>
            <w:tcW w:w="768"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88.2±3.41 </w:t>
            </w:r>
            <w:r>
              <w:rPr>
                <w:rFonts w:hint="eastAsia" w:ascii="宋体" w:hAnsi="宋体" w:cs="宋体"/>
                <w:color w:val="000000"/>
                <w:spacing w:val="-20"/>
                <w:szCs w:val="21"/>
                <w:vertAlign w:val="superscript"/>
              </w:rPr>
              <w:t>a</w:t>
            </w:r>
          </w:p>
        </w:tc>
        <w:tc>
          <w:tcPr>
            <w:tcW w:w="741"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88.3±2.69 </w:t>
            </w:r>
            <w:r>
              <w:rPr>
                <w:rFonts w:hint="eastAsia" w:ascii="宋体" w:hAnsi="宋体" w:cs="宋体"/>
                <w:color w:val="000000"/>
                <w:spacing w:val="-20"/>
                <w:szCs w:val="21"/>
                <w:vertAlign w:val="superscript"/>
              </w:rPr>
              <w:t>a</w:t>
            </w:r>
          </w:p>
        </w:tc>
      </w:tr>
      <w:tr>
        <w:tblPrEx>
          <w:tblCellMar>
            <w:top w:w="0" w:type="dxa"/>
            <w:left w:w="108" w:type="dxa"/>
            <w:bottom w:w="0" w:type="dxa"/>
            <w:right w:w="108" w:type="dxa"/>
          </w:tblCellMar>
        </w:tblPrEx>
        <w:trPr>
          <w:trHeight w:val="312" w:hRule="atLeast"/>
          <w:jc w:val="center"/>
        </w:trPr>
        <w:tc>
          <w:tcPr>
            <w:tcW w:w="212" w:type="pct"/>
            <w:tcBorders>
              <w:top w:val="nil"/>
              <w:left w:val="nil"/>
              <w:bottom w:val="nil"/>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D</w:t>
            </w:r>
          </w:p>
        </w:tc>
        <w:tc>
          <w:tcPr>
            <w:tcW w:w="813"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25</w:t>
            </w:r>
            <w:r>
              <w:rPr>
                <w:rFonts w:ascii="宋体" w:hAnsi="宋体" w:cs="宋体"/>
                <w:color w:val="000000"/>
                <w:spacing w:val="-20"/>
                <w:szCs w:val="21"/>
              </w:rPr>
              <w:t>.0</w:t>
            </w:r>
            <w:r>
              <w:rPr>
                <w:rFonts w:hint="eastAsia" w:ascii="宋体" w:hAnsi="宋体" w:cs="宋体"/>
                <w:color w:val="000000"/>
                <w:spacing w:val="-20"/>
                <w:szCs w:val="21"/>
              </w:rPr>
              <w:t>±13.6</w:t>
            </w:r>
            <w:r>
              <w:rPr>
                <w:rFonts w:ascii="宋体" w:hAnsi="宋体" w:cs="宋体"/>
                <w:color w:val="000000"/>
                <w:spacing w:val="-20"/>
                <w:szCs w:val="21"/>
              </w:rPr>
              <w:t>0</w:t>
            </w:r>
            <w:r>
              <w:rPr>
                <w:rFonts w:hint="eastAsia" w:ascii="宋体" w:hAnsi="宋体" w:cs="宋体"/>
                <w:color w:val="000000"/>
                <w:spacing w:val="-20"/>
                <w:szCs w:val="21"/>
              </w:rPr>
              <w:t xml:space="preserve"> </w:t>
            </w:r>
            <w:r>
              <w:rPr>
                <w:rFonts w:hint="eastAsia" w:ascii="宋体" w:hAnsi="宋体" w:cs="宋体"/>
                <w:color w:val="000000"/>
                <w:spacing w:val="-20"/>
                <w:szCs w:val="21"/>
                <w:vertAlign w:val="superscript"/>
              </w:rPr>
              <w:t>bc</w:t>
            </w:r>
          </w:p>
        </w:tc>
        <w:tc>
          <w:tcPr>
            <w:tcW w:w="823"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92.5±8.65</w:t>
            </w:r>
            <w:r>
              <w:rPr>
                <w:rFonts w:ascii="宋体" w:hAnsi="宋体" w:cs="宋体"/>
                <w:color w:val="000000"/>
                <w:spacing w:val="-20"/>
                <w:szCs w:val="21"/>
              </w:rPr>
              <w:t xml:space="preserve"> </w:t>
            </w:r>
            <w:r>
              <w:rPr>
                <w:rFonts w:hint="eastAsia" w:ascii="宋体" w:hAnsi="宋体" w:cs="宋体"/>
                <w:color w:val="000000"/>
                <w:spacing w:val="-20"/>
                <w:szCs w:val="21"/>
                <w:vertAlign w:val="superscript"/>
              </w:rPr>
              <w:t>a</w:t>
            </w:r>
          </w:p>
        </w:tc>
        <w:tc>
          <w:tcPr>
            <w:tcW w:w="856"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91.4±8.55 </w:t>
            </w:r>
            <w:r>
              <w:rPr>
                <w:rFonts w:hint="eastAsia" w:ascii="宋体" w:hAnsi="宋体" w:cs="宋体"/>
                <w:color w:val="000000"/>
                <w:spacing w:val="-20"/>
                <w:szCs w:val="21"/>
                <w:vertAlign w:val="superscript"/>
              </w:rPr>
              <w:t>b</w:t>
            </w:r>
          </w:p>
        </w:tc>
        <w:tc>
          <w:tcPr>
            <w:tcW w:w="784"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59.4±13.06 </w:t>
            </w:r>
            <w:r>
              <w:rPr>
                <w:rFonts w:hint="eastAsia" w:ascii="宋体" w:hAnsi="宋体" w:cs="宋体"/>
                <w:color w:val="000000"/>
                <w:spacing w:val="-20"/>
                <w:szCs w:val="21"/>
                <w:vertAlign w:val="superscript"/>
              </w:rPr>
              <w:t>a</w:t>
            </w:r>
          </w:p>
        </w:tc>
        <w:tc>
          <w:tcPr>
            <w:tcW w:w="768"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89.2±0.97 </w:t>
            </w:r>
            <w:r>
              <w:rPr>
                <w:rFonts w:hint="eastAsia" w:ascii="宋体" w:hAnsi="宋体" w:cs="宋体"/>
                <w:color w:val="000000"/>
                <w:spacing w:val="-20"/>
                <w:szCs w:val="21"/>
                <w:vertAlign w:val="superscript"/>
              </w:rPr>
              <w:t>a</w:t>
            </w:r>
          </w:p>
        </w:tc>
        <w:tc>
          <w:tcPr>
            <w:tcW w:w="741" w:type="pct"/>
            <w:tcBorders>
              <w:top w:val="nil"/>
              <w:left w:val="nil"/>
              <w:bottom w:val="nil"/>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87.5±1.83 </w:t>
            </w:r>
            <w:r>
              <w:rPr>
                <w:rFonts w:hint="eastAsia" w:ascii="宋体" w:hAnsi="宋体" w:cs="宋体"/>
                <w:color w:val="000000"/>
                <w:spacing w:val="-20"/>
                <w:szCs w:val="21"/>
                <w:vertAlign w:val="superscript"/>
              </w:rPr>
              <w:t>a</w:t>
            </w:r>
          </w:p>
        </w:tc>
      </w:tr>
      <w:tr>
        <w:tblPrEx>
          <w:tblCellMar>
            <w:top w:w="0" w:type="dxa"/>
            <w:left w:w="108" w:type="dxa"/>
            <w:bottom w:w="0" w:type="dxa"/>
            <w:right w:w="108" w:type="dxa"/>
          </w:tblCellMar>
        </w:tblPrEx>
        <w:trPr>
          <w:trHeight w:val="312" w:hRule="atLeast"/>
          <w:jc w:val="center"/>
        </w:trPr>
        <w:tc>
          <w:tcPr>
            <w:tcW w:w="212"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hint="eastAsia" w:ascii="宋体" w:hAnsi="宋体" w:cs="宋体"/>
                <w:color w:val="000000"/>
                <w:szCs w:val="21"/>
              </w:rPr>
            </w:pPr>
            <w:r>
              <w:rPr>
                <w:rFonts w:hint="eastAsia" w:ascii="宋体" w:hAnsi="宋体" w:cs="宋体"/>
                <w:color w:val="000000"/>
                <w:szCs w:val="21"/>
              </w:rPr>
              <w:t>E</w:t>
            </w:r>
          </w:p>
        </w:tc>
        <w:tc>
          <w:tcPr>
            <w:tcW w:w="813"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18.2±13.</w:t>
            </w:r>
            <w:r>
              <w:rPr>
                <w:rFonts w:ascii="宋体" w:hAnsi="宋体" w:cs="宋体"/>
                <w:color w:val="000000"/>
                <w:spacing w:val="-20"/>
                <w:szCs w:val="21"/>
              </w:rPr>
              <w:t>65</w:t>
            </w:r>
            <w:r>
              <w:rPr>
                <w:rFonts w:hint="eastAsia" w:ascii="宋体" w:hAnsi="宋体" w:cs="宋体"/>
                <w:color w:val="000000"/>
                <w:spacing w:val="-20"/>
                <w:szCs w:val="21"/>
              </w:rPr>
              <w:t xml:space="preserve"> </w:t>
            </w:r>
            <w:r>
              <w:rPr>
                <w:rFonts w:hint="eastAsia" w:ascii="宋体" w:hAnsi="宋体" w:cs="宋体"/>
                <w:color w:val="000000"/>
                <w:spacing w:val="-20"/>
                <w:szCs w:val="21"/>
                <w:vertAlign w:val="superscript"/>
              </w:rPr>
              <w:t>c</w:t>
            </w:r>
          </w:p>
        </w:tc>
        <w:tc>
          <w:tcPr>
            <w:tcW w:w="823"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94.3±5.65 </w:t>
            </w:r>
            <w:r>
              <w:rPr>
                <w:rFonts w:hint="eastAsia" w:ascii="宋体" w:hAnsi="宋体" w:cs="宋体"/>
                <w:color w:val="000000"/>
                <w:spacing w:val="-20"/>
                <w:szCs w:val="21"/>
                <w:vertAlign w:val="superscript"/>
              </w:rPr>
              <w:t>a</w:t>
            </w:r>
          </w:p>
        </w:tc>
        <w:tc>
          <w:tcPr>
            <w:tcW w:w="856"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97.1±4.96 </w:t>
            </w:r>
            <w:r>
              <w:rPr>
                <w:rFonts w:hint="eastAsia" w:ascii="宋体" w:hAnsi="宋体" w:cs="宋体"/>
                <w:color w:val="000000"/>
                <w:spacing w:val="-20"/>
                <w:szCs w:val="21"/>
                <w:vertAlign w:val="superscript"/>
              </w:rPr>
              <w:t>a</w:t>
            </w:r>
          </w:p>
        </w:tc>
        <w:tc>
          <w:tcPr>
            <w:tcW w:w="784"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47.1±19.49 </w:t>
            </w:r>
            <w:r>
              <w:rPr>
                <w:rFonts w:hint="eastAsia" w:ascii="宋体" w:hAnsi="宋体" w:cs="宋体"/>
                <w:color w:val="000000"/>
                <w:spacing w:val="-20"/>
                <w:szCs w:val="21"/>
                <w:vertAlign w:val="superscript"/>
              </w:rPr>
              <w:t>b</w:t>
            </w:r>
          </w:p>
        </w:tc>
        <w:tc>
          <w:tcPr>
            <w:tcW w:w="768"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88.1±0.93 </w:t>
            </w:r>
            <w:r>
              <w:rPr>
                <w:rFonts w:hint="eastAsia" w:ascii="宋体" w:hAnsi="宋体" w:cs="宋体"/>
                <w:color w:val="000000"/>
                <w:spacing w:val="-20"/>
                <w:szCs w:val="21"/>
                <w:vertAlign w:val="superscript"/>
              </w:rPr>
              <w:t>a</w:t>
            </w:r>
          </w:p>
        </w:tc>
        <w:tc>
          <w:tcPr>
            <w:tcW w:w="741" w:type="pct"/>
            <w:tcBorders>
              <w:top w:val="nil"/>
              <w:left w:val="nil"/>
              <w:bottom w:val="single" w:color="000000" w:sz="12" w:space="0"/>
              <w:right w:val="nil"/>
            </w:tcBorders>
            <w:noWrap w:val="0"/>
            <w:vAlign w:val="center"/>
          </w:tcPr>
          <w:p>
            <w:pPr>
              <w:widowControl/>
              <w:ind w:left="-53" w:leftChars="-25" w:right="-53" w:rightChars="-25"/>
              <w:jc w:val="center"/>
              <w:textAlignment w:val="center"/>
              <w:rPr>
                <w:rFonts w:ascii="宋体" w:hAnsi="宋体" w:cs="宋体"/>
                <w:color w:val="000000"/>
                <w:spacing w:val="-20"/>
                <w:szCs w:val="21"/>
              </w:rPr>
            </w:pPr>
            <w:r>
              <w:rPr>
                <w:rFonts w:hint="eastAsia" w:ascii="宋体" w:hAnsi="宋体" w:cs="宋体"/>
                <w:color w:val="000000"/>
                <w:spacing w:val="-20"/>
                <w:szCs w:val="21"/>
              </w:rPr>
              <w:t xml:space="preserve">89.1±3.51 </w:t>
            </w:r>
            <w:r>
              <w:rPr>
                <w:rFonts w:hint="eastAsia" w:ascii="宋体" w:hAnsi="宋体" w:cs="宋体"/>
                <w:color w:val="000000"/>
                <w:spacing w:val="-20"/>
                <w:szCs w:val="21"/>
                <w:vertAlign w:val="superscript"/>
              </w:rPr>
              <w:t>a</w:t>
            </w:r>
          </w:p>
        </w:tc>
      </w:tr>
    </w:tbl>
    <w:p>
      <w:pPr>
        <w:spacing w:line="460" w:lineRule="exact"/>
        <w:rPr>
          <w:rFonts w:ascii="宋体" w:hAnsi="宋体" w:cs="宋体"/>
          <w:color w:val="000000"/>
          <w:kern w:val="0"/>
          <w:sz w:val="28"/>
          <w:szCs w:val="28"/>
        </w:rPr>
      </w:pPr>
      <w:r>
        <w:rPr>
          <w:rFonts w:hint="eastAsia" w:ascii="宋体" w:hAnsi="宋体" w:cs="宋体"/>
          <w:color w:val="000000"/>
          <w:kern w:val="0"/>
          <w:sz w:val="28"/>
          <w:szCs w:val="28"/>
        </w:rPr>
        <w:t>注：</w:t>
      </w:r>
      <w:r>
        <w:rPr>
          <w:rFonts w:ascii="宋体" w:hAnsi="宋体" w:cs="宋体"/>
          <w:color w:val="000000"/>
          <w:kern w:val="0"/>
          <w:sz w:val="28"/>
          <w:szCs w:val="28"/>
        </w:rPr>
        <w:t>表中不同小写字母表示</w:t>
      </w:r>
      <w:r>
        <w:rPr>
          <w:rFonts w:hint="eastAsia" w:ascii="宋体" w:hAnsi="宋体" w:cs="宋体"/>
          <w:color w:val="000000"/>
          <w:kern w:val="0"/>
          <w:sz w:val="28"/>
          <w:szCs w:val="28"/>
        </w:rPr>
        <w:t>各</w:t>
      </w:r>
      <w:r>
        <w:rPr>
          <w:rFonts w:ascii="宋体" w:hAnsi="宋体" w:cs="宋体"/>
          <w:color w:val="000000"/>
          <w:kern w:val="0"/>
          <w:sz w:val="28"/>
          <w:szCs w:val="28"/>
        </w:rPr>
        <w:t>处理在</w:t>
      </w:r>
      <w:r>
        <w:rPr>
          <w:rFonts w:hint="eastAsia" w:ascii="宋体" w:hAnsi="宋体" w:cs="宋体"/>
          <w:color w:val="000000"/>
          <w:kern w:val="0"/>
          <w:sz w:val="28"/>
          <w:szCs w:val="28"/>
        </w:rPr>
        <w:t>0.05水平</w:t>
      </w:r>
      <w:r>
        <w:rPr>
          <w:rFonts w:ascii="宋体" w:hAnsi="宋体" w:cs="宋体"/>
          <w:color w:val="000000"/>
          <w:kern w:val="0"/>
          <w:sz w:val="28"/>
          <w:szCs w:val="28"/>
        </w:rPr>
        <w:t>差异</w:t>
      </w:r>
      <w:r>
        <w:rPr>
          <w:rFonts w:hint="eastAsia" w:ascii="宋体" w:hAnsi="宋体" w:cs="宋体"/>
          <w:color w:val="000000"/>
          <w:kern w:val="0"/>
          <w:sz w:val="28"/>
          <w:szCs w:val="28"/>
        </w:rPr>
        <w:t>显著</w:t>
      </w:r>
      <w:r>
        <w:rPr>
          <w:rFonts w:ascii="宋体" w:hAnsi="宋体" w:cs="宋体"/>
          <w:color w:val="000000"/>
          <w:kern w:val="0"/>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宋体" w:hAnsi="宋体" w:cs="宋体"/>
          <w:kern w:val="0"/>
          <w:sz w:val="28"/>
          <w:szCs w:val="28"/>
        </w:rPr>
      </w:pPr>
      <w:r>
        <w:rPr>
          <w:rFonts w:hint="default" w:ascii="Times New Roman" w:hAnsi="Times New Roman" w:eastAsia="仿宋_GB2312" w:cs="Times New Roman"/>
          <w:kern w:val="0"/>
          <w:sz w:val="32"/>
          <w:szCs w:val="32"/>
        </w:rPr>
        <w:t>由图1可知，施用5种不同药剂组合处理的小麦和大豆药后7、15 d的平均株防效呈上升趋势，之后的株防效变化不大，表明各药剂组合在药后15 d内即可达到杂草防除的最大效果。由试验点</w:t>
      </w:r>
      <w:r>
        <w:rPr>
          <w:rFonts w:hint="default" w:ascii="Times New Roman" w:hAnsi="Times New Roman" w:eastAsia="仿宋_GB2312" w:cs="Times New Roman"/>
          <w:color w:val="000000"/>
          <w:kern w:val="0"/>
          <w:sz w:val="32"/>
          <w:szCs w:val="32"/>
        </w:rPr>
        <w:t>Ⅰ</w:t>
      </w:r>
      <w:r>
        <w:rPr>
          <w:rFonts w:hint="default" w:ascii="Times New Roman" w:hAnsi="Times New Roman" w:eastAsia="仿宋_GB2312" w:cs="Times New Roman"/>
          <w:kern w:val="0"/>
          <w:sz w:val="32"/>
          <w:szCs w:val="32"/>
        </w:rPr>
        <w:t>和试验点</w:t>
      </w:r>
      <w:r>
        <w:rPr>
          <w:rFonts w:hint="default" w:ascii="Times New Roman" w:hAnsi="Times New Roman" w:eastAsia="仿宋_GB2312" w:cs="Times New Roman"/>
          <w:color w:val="000000"/>
          <w:kern w:val="0"/>
          <w:sz w:val="32"/>
          <w:szCs w:val="32"/>
        </w:rPr>
        <w:t>Ⅱ</w:t>
      </w:r>
      <w:r>
        <w:rPr>
          <w:rFonts w:hint="default" w:ascii="Times New Roman" w:hAnsi="Times New Roman" w:eastAsia="仿宋_GB2312" w:cs="Times New Roman"/>
          <w:kern w:val="0"/>
          <w:sz w:val="32"/>
          <w:szCs w:val="32"/>
        </w:rPr>
        <w:t xml:space="preserve">分析结果相互验证可知，小麦田施用24%炔草酯乳油+900 </w:t>
      </w:r>
      <w:r>
        <w:rPr>
          <w:rFonts w:hint="default" w:ascii="Times New Roman" w:hAnsi="Times New Roman" w:eastAsia="仿宋_GB2312" w:cs="Times New Roman"/>
          <w:color w:val="000000"/>
          <w:sz w:val="32"/>
          <w:szCs w:val="32"/>
        </w:rPr>
        <w:t>g·L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color w:val="000000"/>
          <w:sz w:val="32"/>
          <w:szCs w:val="32"/>
        </w:rPr>
        <w:t xml:space="preserve"> </w:t>
      </w:r>
      <w:r>
        <w:rPr>
          <w:rFonts w:hint="default" w:ascii="Times New Roman" w:hAnsi="Times New Roman" w:eastAsia="仿宋_GB2312" w:cs="Times New Roman"/>
          <w:kern w:val="0"/>
          <w:sz w:val="32"/>
          <w:szCs w:val="32"/>
        </w:rPr>
        <w:t>2，4-滴异辛酯乳油、大豆田施用108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高效氟吡甲禾灵乳油+480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灭草松水剂+250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氟磺胺草醚水剂处理（A处理），69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精噁唑禾草灵水乳剂+10%苯磺隆可湿性粉剂处理（D处理）的株防效在药后30 d均呈下降趋势，持效性较差；900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 xml:space="preserve"> 2，4-滴异辛酯乳油+10%苯磺隆可湿性粉剂处理（E处理）株防效在药后15～30 d上升快，且未出现防效下降的情况，持效性较长，但药后7 d处理E的株防效为5种药剂组合处理中最低，可能是由于其杂草防除作用机理导致防效发挥较慢。</w:t>
      </w:r>
    </w:p>
    <w:p>
      <w:pPr>
        <w:spacing w:line="240" w:lineRule="exact"/>
        <w:ind w:firstLine="1687" w:firstLineChars="600"/>
        <w:rPr>
          <w:rFonts w:hint="eastAsia" w:ascii="宋体" w:hAnsi="宋体" w:cs="宋体"/>
          <w:b/>
          <w:sz w:val="28"/>
          <w:szCs w:val="28"/>
        </w:rPr>
      </w:pPr>
      <w:r>
        <w:rPr>
          <w:rFonts w:hint="eastAsia" w:ascii="宋体" w:hAnsi="宋体" w:cs="宋体"/>
          <w:b/>
          <w:sz w:val="28"/>
          <w:szCs w:val="28"/>
        </w:rPr>
        <w:drawing>
          <wp:anchor distT="0" distB="0" distL="114300" distR="114300" simplePos="0" relativeHeight="251663360" behindDoc="0" locked="0" layoutInCell="1" allowOverlap="1">
            <wp:simplePos x="0" y="0"/>
            <wp:positionH relativeFrom="column">
              <wp:posOffset>15240</wp:posOffset>
            </wp:positionH>
            <wp:positionV relativeFrom="paragraph">
              <wp:posOffset>88265</wp:posOffset>
            </wp:positionV>
            <wp:extent cx="2680335" cy="2192020"/>
            <wp:effectExtent l="0" t="0" r="5715" b="17780"/>
            <wp:wrapTopAndBottom/>
            <wp:docPr id="2" name="图片 2" descr="69a0862c02c3833d0c2d9a12eacef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69a0862c02c3833d0c2d9a12eacef37"/>
                    <pic:cNvPicPr>
                      <a:picLocks noChangeAspect="1"/>
                    </pic:cNvPicPr>
                  </pic:nvPicPr>
                  <pic:blipFill>
                    <a:blip r:embed="rId6"/>
                    <a:stretch>
                      <a:fillRect/>
                    </a:stretch>
                  </pic:blipFill>
                  <pic:spPr>
                    <a:xfrm>
                      <a:off x="0" y="0"/>
                      <a:ext cx="2680335" cy="2192020"/>
                    </a:xfrm>
                    <a:prstGeom prst="rect">
                      <a:avLst/>
                    </a:prstGeom>
                    <a:noFill/>
                    <a:ln>
                      <a:noFill/>
                    </a:ln>
                  </pic:spPr>
                </pic:pic>
              </a:graphicData>
            </a:graphic>
          </wp:anchor>
        </w:drawing>
      </w:r>
      <w:r>
        <w:rPr>
          <w:rFonts w:hint="eastAsia" w:ascii="宋体" w:hAnsi="宋体" w:cs="宋体"/>
          <w:b/>
          <w:sz w:val="28"/>
          <w:szCs w:val="28"/>
        </w:rPr>
        <w:drawing>
          <wp:anchor distT="0" distB="0" distL="114300" distR="114300" simplePos="0" relativeHeight="251659264" behindDoc="0" locked="0" layoutInCell="1" allowOverlap="1">
            <wp:simplePos x="0" y="0"/>
            <wp:positionH relativeFrom="column">
              <wp:posOffset>2687955</wp:posOffset>
            </wp:positionH>
            <wp:positionV relativeFrom="paragraph">
              <wp:posOffset>89535</wp:posOffset>
            </wp:positionV>
            <wp:extent cx="2703195" cy="2185035"/>
            <wp:effectExtent l="0" t="0" r="1905" b="5715"/>
            <wp:wrapSquare wrapText="bothSides"/>
            <wp:docPr id="4" name="图片 3" descr="e8fcb90f5fd7ba80eb3632460017a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e8fcb90f5fd7ba80eb3632460017a83"/>
                    <pic:cNvPicPr>
                      <a:picLocks noChangeAspect="1"/>
                    </pic:cNvPicPr>
                  </pic:nvPicPr>
                  <pic:blipFill>
                    <a:blip r:embed="rId7"/>
                    <a:stretch>
                      <a:fillRect/>
                    </a:stretch>
                  </pic:blipFill>
                  <pic:spPr>
                    <a:xfrm>
                      <a:off x="0" y="0"/>
                      <a:ext cx="2703195" cy="2185035"/>
                    </a:xfrm>
                    <a:prstGeom prst="rect">
                      <a:avLst/>
                    </a:prstGeom>
                    <a:noFill/>
                    <a:ln>
                      <a:noFill/>
                    </a:ln>
                  </pic:spPr>
                </pic:pic>
              </a:graphicData>
            </a:graphic>
          </wp:anchor>
        </w:drawing>
      </w:r>
      <w:r>
        <w:rPr>
          <w:rFonts w:hint="eastAsia" w:ascii="宋体" w:hAnsi="宋体" w:cs="宋体"/>
          <w:b/>
          <w:szCs w:val="21"/>
        </w:rPr>
        <w:t>试验点Ⅰ                                  试验点Ⅱ</w:t>
      </w:r>
    </w:p>
    <w:p>
      <w:pPr>
        <w:spacing w:line="240" w:lineRule="exact"/>
        <w:jc w:val="center"/>
        <w:rPr>
          <w:rFonts w:ascii="宋体" w:hAnsi="宋体" w:cs="宋体"/>
          <w:b/>
          <w:szCs w:val="21"/>
        </w:rPr>
      </w:pPr>
      <w:r>
        <w:rPr>
          <w:rFonts w:hint="eastAsia" w:ascii="宋体" w:hAnsi="宋体" w:cs="宋体"/>
          <w:b/>
          <w:szCs w:val="21"/>
        </w:rPr>
        <w:t xml:space="preserve">图1 </w:t>
      </w:r>
      <w:r>
        <w:rPr>
          <w:rFonts w:ascii="宋体" w:hAnsi="宋体" w:cs="宋体"/>
          <w:b/>
          <w:szCs w:val="21"/>
        </w:rPr>
        <w:t xml:space="preserve"> </w:t>
      </w:r>
      <w:r>
        <w:rPr>
          <w:rFonts w:hint="eastAsia" w:ascii="宋体" w:hAnsi="宋体" w:cs="宋体"/>
          <w:b/>
          <w:szCs w:val="21"/>
        </w:rPr>
        <w:t>各药剂</w:t>
      </w:r>
      <w:r>
        <w:rPr>
          <w:rFonts w:ascii="宋体" w:hAnsi="宋体" w:cs="宋体"/>
          <w:b/>
          <w:szCs w:val="21"/>
        </w:rPr>
        <w:t>组合</w:t>
      </w:r>
      <w:r>
        <w:rPr>
          <w:rFonts w:hint="eastAsia" w:ascii="宋体" w:hAnsi="宋体" w:cs="宋体"/>
          <w:b/>
          <w:szCs w:val="21"/>
        </w:rPr>
        <w:t>处理药后不同时间防效变化趋势</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cs="宋体"/>
          <w:b/>
          <w:sz w:val="28"/>
          <w:szCs w:val="28"/>
        </w:rPr>
      </w:pPr>
      <w:r>
        <w:rPr>
          <w:rFonts w:hint="default" w:ascii="Times New Roman" w:hAnsi="Times New Roman" w:eastAsia="仿宋_GB2312" w:cs="Times New Roman"/>
          <w:color w:val="000000"/>
          <w:kern w:val="0"/>
          <w:sz w:val="32"/>
          <w:szCs w:val="32"/>
        </w:rPr>
        <w:t>由图2可知，各药剂组合处理间药后7、15 d株防效达极显著差异，部分药剂组合处理</w:t>
      </w:r>
      <w:r>
        <w:rPr>
          <w:rFonts w:hint="default" w:ascii="Times New Roman" w:hAnsi="Times New Roman" w:eastAsia="仿宋_GB2312" w:cs="Times New Roman"/>
          <w:kern w:val="0"/>
          <w:sz w:val="32"/>
          <w:szCs w:val="32"/>
        </w:rPr>
        <w:t>在药后15～30 d株防效无显著差异或差异显著。其中，施用900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 xml:space="preserve"> 2，4-滴异辛酯乳油+10%苯磺隆可湿性粉剂处理（E处理）在试验点</w:t>
      </w:r>
      <w:r>
        <w:rPr>
          <w:rFonts w:hint="default" w:ascii="Times New Roman" w:hAnsi="Times New Roman" w:eastAsia="仿宋_GB2312" w:cs="Times New Roman"/>
          <w:color w:val="000000"/>
          <w:kern w:val="0"/>
          <w:sz w:val="32"/>
          <w:szCs w:val="32"/>
        </w:rPr>
        <w:t>Ⅰ</w:t>
      </w:r>
      <w:r>
        <w:rPr>
          <w:rFonts w:hint="default" w:ascii="Times New Roman" w:hAnsi="Times New Roman" w:eastAsia="仿宋_GB2312" w:cs="Times New Roman"/>
          <w:kern w:val="0"/>
          <w:sz w:val="32"/>
          <w:szCs w:val="32"/>
        </w:rPr>
        <w:t>药后15 d与30 d株防效差异显著，在试验点</w:t>
      </w:r>
      <w:r>
        <w:rPr>
          <w:rFonts w:hint="default" w:ascii="Times New Roman" w:hAnsi="Times New Roman" w:eastAsia="仿宋_GB2312" w:cs="Times New Roman"/>
          <w:color w:val="000000"/>
          <w:kern w:val="0"/>
          <w:sz w:val="32"/>
          <w:szCs w:val="32"/>
        </w:rPr>
        <w:t>Ⅱ</w:t>
      </w:r>
      <w:r>
        <w:rPr>
          <w:rFonts w:hint="default" w:ascii="Times New Roman" w:hAnsi="Times New Roman" w:eastAsia="仿宋_GB2312" w:cs="Times New Roman"/>
          <w:kern w:val="0"/>
          <w:sz w:val="32"/>
          <w:szCs w:val="32"/>
        </w:rPr>
        <w:t>药后15 d与30 d株防效无显著差异，表明E处理对小麦、大豆田间杂草防除效果表现相对稳定；小麦田施用24%炔草酯乳油+900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 xml:space="preserve"> 2，4-滴异辛酯乳油、大豆田施用108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高效氟吡甲禾灵乳油+480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灭草松水剂+250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氟磺胺草醚水剂处理（A处理）在试验点</w:t>
      </w:r>
      <w:r>
        <w:rPr>
          <w:rFonts w:hint="default" w:ascii="Times New Roman" w:hAnsi="Times New Roman" w:eastAsia="仿宋_GB2312" w:cs="Times New Roman"/>
          <w:color w:val="000000"/>
          <w:kern w:val="0"/>
          <w:sz w:val="32"/>
          <w:szCs w:val="32"/>
        </w:rPr>
        <w:t>Ⅱ</w:t>
      </w:r>
      <w:r>
        <w:rPr>
          <w:rFonts w:hint="default" w:ascii="Times New Roman" w:hAnsi="Times New Roman" w:eastAsia="仿宋_GB2312" w:cs="Times New Roman"/>
          <w:kern w:val="0"/>
          <w:sz w:val="32"/>
          <w:szCs w:val="32"/>
        </w:rPr>
        <w:t>药后15、30 d株防效间有显著差异；小麦田施用69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精噁唑禾草灵水乳剂+10%苯磺隆可湿性粉剂、大豆田施用240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烯草酮乳油+250 g</w:t>
      </w:r>
      <w:r>
        <w:rPr>
          <w:rFonts w:hint="default" w:ascii="Times New Roman" w:hAnsi="Times New Roman" w:eastAsia="仿宋_GB2312" w:cs="Times New Roman"/>
          <w:color w:val="000000"/>
          <w:sz w:val="32"/>
          <w:szCs w:val="32"/>
        </w:rPr>
        <w:t>·L</w:t>
      </w:r>
      <w:r>
        <w:rPr>
          <w:rFonts w:hint="default" w:ascii="Times New Roman" w:hAnsi="Times New Roman" w:eastAsia="仿宋_GB2312" w:cs="Times New Roman"/>
          <w:color w:val="000000"/>
          <w:sz w:val="32"/>
          <w:szCs w:val="32"/>
          <w:vertAlign w:val="superscript"/>
        </w:rPr>
        <w:t>-1</w:t>
      </w:r>
      <w:r>
        <w:rPr>
          <w:rFonts w:hint="default" w:ascii="Times New Roman" w:hAnsi="Times New Roman" w:eastAsia="仿宋_GB2312" w:cs="Times New Roman"/>
          <w:kern w:val="0"/>
          <w:sz w:val="32"/>
          <w:szCs w:val="32"/>
        </w:rPr>
        <w:t>氟磺胺草醚水剂处理（B处理）在试验点</w:t>
      </w:r>
      <w:r>
        <w:rPr>
          <w:rFonts w:hint="default" w:ascii="Times New Roman" w:hAnsi="Times New Roman" w:eastAsia="仿宋_GB2312" w:cs="Times New Roman"/>
          <w:kern w:val="0"/>
          <w:sz w:val="32"/>
          <w:szCs w:val="32"/>
        </w:rPr>
        <w:fldChar w:fldCharType="begin"/>
      </w:r>
      <w:r>
        <w:rPr>
          <w:rFonts w:hint="default" w:ascii="Times New Roman" w:hAnsi="Times New Roman" w:eastAsia="仿宋_GB2312" w:cs="Times New Roman"/>
          <w:kern w:val="0"/>
          <w:sz w:val="32"/>
          <w:szCs w:val="32"/>
        </w:rPr>
        <w:instrText xml:space="preserve"> = 2 \* ROMAN </w:instrText>
      </w:r>
      <w:r>
        <w:rPr>
          <w:rFonts w:hint="default" w:ascii="Times New Roman" w:hAnsi="Times New Roman" w:eastAsia="仿宋_GB2312" w:cs="Times New Roman"/>
          <w:kern w:val="0"/>
          <w:sz w:val="32"/>
          <w:szCs w:val="32"/>
        </w:rPr>
        <w:fldChar w:fldCharType="separate"/>
      </w:r>
      <w:r>
        <w:rPr>
          <w:rFonts w:hint="default" w:ascii="Times New Roman" w:hAnsi="Times New Roman" w:eastAsia="仿宋_GB2312" w:cs="Times New Roman"/>
          <w:kern w:val="0"/>
          <w:sz w:val="32"/>
          <w:szCs w:val="32"/>
        </w:rPr>
        <w:t>II</w:t>
      </w:r>
      <w:r>
        <w:rPr>
          <w:rFonts w:hint="default" w:ascii="Times New Roman" w:hAnsi="Times New Roman" w:eastAsia="仿宋_GB2312" w:cs="Times New Roman"/>
          <w:kern w:val="0"/>
          <w:sz w:val="32"/>
          <w:szCs w:val="32"/>
        </w:rPr>
        <w:fldChar w:fldCharType="end"/>
      </w:r>
      <w:r>
        <w:rPr>
          <w:rFonts w:hint="default" w:ascii="Times New Roman" w:hAnsi="Times New Roman" w:eastAsia="仿宋_GB2312" w:cs="Times New Roman"/>
          <w:kern w:val="0"/>
          <w:sz w:val="32"/>
          <w:szCs w:val="32"/>
        </w:rPr>
        <w:t>药后15、30 d株防效间无显著差异，表明这两种药剂组合处理对小麦、大豆田间杂草防除效果稳定性较差，易受田间因素影响。</w:t>
      </w:r>
    </w:p>
    <w:p>
      <w:pPr>
        <w:spacing w:line="460" w:lineRule="exact"/>
        <w:ind w:firstLine="422" w:firstLineChars="200"/>
        <w:rPr>
          <w:rFonts w:hint="eastAsia" w:ascii="宋体" w:hAnsi="宋体" w:cs="宋体"/>
          <w:b/>
          <w:szCs w:val="21"/>
        </w:rPr>
      </w:pPr>
      <w:r>
        <w:rPr>
          <w:rFonts w:hint="eastAsia" w:ascii="宋体" w:hAnsi="宋体" w:cs="宋体"/>
          <w:b/>
          <w:szCs w:val="21"/>
        </w:rPr>
        <w:drawing>
          <wp:anchor distT="0" distB="0" distL="114300" distR="114300" simplePos="0" relativeHeight="251664384" behindDoc="0" locked="0" layoutInCell="1" allowOverlap="1">
            <wp:simplePos x="0" y="0"/>
            <wp:positionH relativeFrom="column">
              <wp:posOffset>2726055</wp:posOffset>
            </wp:positionH>
            <wp:positionV relativeFrom="paragraph">
              <wp:posOffset>17780</wp:posOffset>
            </wp:positionV>
            <wp:extent cx="2567305" cy="2160270"/>
            <wp:effectExtent l="0" t="0" r="4445" b="11430"/>
            <wp:wrapTopAndBottom/>
            <wp:docPr id="5" name="图片 4" descr="ec4937382689e60b5b3ecde257d0d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ec4937382689e60b5b3ecde257d0d7a"/>
                    <pic:cNvPicPr>
                      <a:picLocks noChangeAspect="1"/>
                    </pic:cNvPicPr>
                  </pic:nvPicPr>
                  <pic:blipFill>
                    <a:blip r:embed="rId8"/>
                    <a:stretch>
                      <a:fillRect/>
                    </a:stretch>
                  </pic:blipFill>
                  <pic:spPr>
                    <a:xfrm>
                      <a:off x="0" y="0"/>
                      <a:ext cx="2567305" cy="2160270"/>
                    </a:xfrm>
                    <a:prstGeom prst="rect">
                      <a:avLst/>
                    </a:prstGeom>
                    <a:noFill/>
                    <a:ln>
                      <a:noFill/>
                    </a:ln>
                  </pic:spPr>
                </pic:pic>
              </a:graphicData>
            </a:graphic>
          </wp:anchor>
        </w:drawing>
      </w:r>
      <w:r>
        <w:rPr>
          <w:rFonts w:hint="eastAsia" w:ascii="宋体" w:hAnsi="宋体" w:cs="宋体"/>
          <w:b/>
          <w:sz w:val="28"/>
          <w:szCs w:val="28"/>
        </w:rPr>
        <w:drawing>
          <wp:anchor distT="0" distB="0" distL="114300" distR="114300" simplePos="0" relativeHeight="251660288" behindDoc="0" locked="0" layoutInCell="1" allowOverlap="1">
            <wp:simplePos x="0" y="0"/>
            <wp:positionH relativeFrom="column">
              <wp:posOffset>10160</wp:posOffset>
            </wp:positionH>
            <wp:positionV relativeFrom="paragraph">
              <wp:posOffset>19050</wp:posOffset>
            </wp:positionV>
            <wp:extent cx="2713355" cy="2158365"/>
            <wp:effectExtent l="0" t="0" r="10795" b="13335"/>
            <wp:wrapTopAndBottom/>
            <wp:docPr id="6" name="图片 5" descr="83982d48998469c95fa5ed292103c7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83982d48998469c95fa5ed292103c7b"/>
                    <pic:cNvPicPr>
                      <a:picLocks noChangeAspect="1"/>
                    </pic:cNvPicPr>
                  </pic:nvPicPr>
                  <pic:blipFill>
                    <a:blip r:embed="rId9"/>
                    <a:stretch>
                      <a:fillRect/>
                    </a:stretch>
                  </pic:blipFill>
                  <pic:spPr>
                    <a:xfrm>
                      <a:off x="0" y="0"/>
                      <a:ext cx="2713355" cy="2158365"/>
                    </a:xfrm>
                    <a:prstGeom prst="rect">
                      <a:avLst/>
                    </a:prstGeom>
                    <a:noFill/>
                    <a:ln>
                      <a:noFill/>
                    </a:ln>
                  </pic:spPr>
                </pic:pic>
              </a:graphicData>
            </a:graphic>
          </wp:anchor>
        </w:drawing>
      </w:r>
      <w:r>
        <w:rPr>
          <w:rFonts w:hint="eastAsia" w:ascii="宋体" w:hAnsi="宋体" w:cs="宋体"/>
          <w:b/>
          <w:sz w:val="28"/>
          <w:szCs w:val="28"/>
        </w:rPr>
        <w:t xml:space="preserve">        </w:t>
      </w:r>
      <w:r>
        <w:rPr>
          <w:rFonts w:hint="eastAsia" w:ascii="宋体" w:hAnsi="宋体" w:cs="宋体"/>
          <w:b/>
          <w:szCs w:val="21"/>
        </w:rPr>
        <w:t>试验点Ⅰ                                 试验点Ⅱ</w:t>
      </w:r>
    </w:p>
    <w:p>
      <w:pPr>
        <w:spacing w:line="240" w:lineRule="exact"/>
        <w:jc w:val="center"/>
        <w:rPr>
          <w:rFonts w:ascii="宋体" w:hAnsi="宋体" w:cs="宋体"/>
          <w:b/>
          <w:szCs w:val="21"/>
        </w:rPr>
      </w:pPr>
      <w:r>
        <w:rPr>
          <w:rFonts w:hint="eastAsia" w:ascii="宋体" w:hAnsi="宋体" w:cs="宋体"/>
          <w:b/>
          <w:szCs w:val="21"/>
        </w:rPr>
        <w:t>图2 不同药剂</w:t>
      </w:r>
      <w:r>
        <w:rPr>
          <w:rFonts w:ascii="宋体" w:hAnsi="宋体" w:cs="宋体"/>
          <w:b/>
          <w:szCs w:val="21"/>
        </w:rPr>
        <w:t>组合</w:t>
      </w:r>
      <w:r>
        <w:rPr>
          <w:rFonts w:hint="eastAsia" w:ascii="宋体" w:hAnsi="宋体" w:cs="宋体"/>
          <w:b/>
          <w:szCs w:val="21"/>
        </w:rPr>
        <w:t>处理株防效不同时间变化趋势</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lang w:val="en-US" w:eastAsia="zh-CN"/>
        </w:rPr>
        <w:t>1.4</w:t>
      </w:r>
      <w:r>
        <w:rPr>
          <w:rFonts w:hint="default" w:ascii="Times New Roman" w:hAnsi="Times New Roman" w:eastAsia="仿宋_GB2312" w:cs="Times New Roman"/>
          <w:b/>
          <w:sz w:val="32"/>
          <w:szCs w:val="32"/>
        </w:rPr>
        <w:t>产量分析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宋体" w:hAnsi="宋体" w:cs="宋体"/>
          <w:color w:val="000000"/>
          <w:kern w:val="0"/>
          <w:sz w:val="28"/>
          <w:szCs w:val="28"/>
        </w:rPr>
      </w:pPr>
      <w:r>
        <w:rPr>
          <w:rFonts w:hint="default" w:ascii="Times New Roman" w:hAnsi="Times New Roman" w:eastAsia="仿宋_GB2312" w:cs="Times New Roman"/>
          <w:color w:val="000000"/>
          <w:kern w:val="0"/>
          <w:sz w:val="32"/>
          <w:szCs w:val="32"/>
        </w:rPr>
        <w:t>由表</w:t>
      </w:r>
      <w:r>
        <w:rPr>
          <w:rFonts w:hint="eastAsia" w:ascii="Times New Roman" w:hAnsi="Times New Roman" w:eastAsia="仿宋_GB2312" w:cs="Times New Roman"/>
          <w:color w:val="000000"/>
          <w:kern w:val="0"/>
          <w:sz w:val="32"/>
          <w:szCs w:val="32"/>
          <w:lang w:val="en-US" w:eastAsia="zh-CN"/>
        </w:rPr>
        <w:t>5</w:t>
      </w:r>
      <w:r>
        <w:rPr>
          <w:rFonts w:hint="default" w:ascii="Times New Roman" w:hAnsi="Times New Roman" w:eastAsia="仿宋_GB2312" w:cs="Times New Roman"/>
          <w:color w:val="000000"/>
          <w:kern w:val="0"/>
          <w:sz w:val="32"/>
          <w:szCs w:val="32"/>
        </w:rPr>
        <w:t>可知，各药剂组合处理小麦、大豆产量较CK均有所增加。在试验点Ⅰ，各药剂组合处理的小麦产量较CK增产2.07%</w:t>
      </w:r>
      <w:r>
        <w:rPr>
          <w:rFonts w:hint="default" w:ascii="Times New Roman" w:hAnsi="Times New Roman" w:eastAsia="仿宋_GB2312" w:cs="Times New Roman"/>
          <w:color w:val="333333"/>
          <w:sz w:val="32"/>
          <w:szCs w:val="32"/>
        </w:rPr>
        <w:t>～</w:t>
      </w:r>
      <w:r>
        <w:rPr>
          <w:rFonts w:hint="default" w:ascii="Times New Roman" w:hAnsi="Times New Roman" w:eastAsia="仿宋_GB2312" w:cs="Times New Roman"/>
          <w:color w:val="000000"/>
          <w:kern w:val="0"/>
          <w:sz w:val="32"/>
          <w:szCs w:val="32"/>
        </w:rPr>
        <w:t>5.80%，大豆产量较CK增产12.75%</w:t>
      </w:r>
      <w:r>
        <w:rPr>
          <w:rFonts w:hint="default" w:ascii="Times New Roman" w:hAnsi="Times New Roman" w:eastAsia="仿宋_GB2312" w:cs="Times New Roman"/>
          <w:color w:val="333333"/>
          <w:sz w:val="32"/>
          <w:szCs w:val="32"/>
        </w:rPr>
        <w:t>～</w:t>
      </w:r>
      <w:r>
        <w:rPr>
          <w:rFonts w:hint="default" w:ascii="Times New Roman" w:hAnsi="Times New Roman" w:eastAsia="仿宋_GB2312" w:cs="Times New Roman"/>
          <w:color w:val="000000"/>
          <w:kern w:val="0"/>
          <w:sz w:val="32"/>
          <w:szCs w:val="32"/>
        </w:rPr>
        <w:t>19.92%；在试验点Ⅱ，各药剂组合处理的小麦产量较CK增产21.95%</w:t>
      </w:r>
      <w:r>
        <w:rPr>
          <w:rFonts w:hint="default" w:ascii="Times New Roman" w:hAnsi="Times New Roman" w:eastAsia="仿宋_GB2312" w:cs="Times New Roman"/>
          <w:color w:val="333333"/>
          <w:sz w:val="32"/>
          <w:szCs w:val="32"/>
        </w:rPr>
        <w:t>～</w:t>
      </w:r>
      <w:r>
        <w:rPr>
          <w:rFonts w:hint="default" w:ascii="Times New Roman" w:hAnsi="Times New Roman" w:eastAsia="仿宋_GB2312" w:cs="Times New Roman"/>
          <w:color w:val="000000"/>
          <w:kern w:val="0"/>
          <w:sz w:val="32"/>
          <w:szCs w:val="32"/>
        </w:rPr>
        <w:t>24.00%，大豆产量较CK增产18.76%</w:t>
      </w:r>
      <w:r>
        <w:rPr>
          <w:rFonts w:hint="default" w:ascii="Times New Roman" w:hAnsi="Times New Roman" w:eastAsia="仿宋_GB2312" w:cs="Times New Roman"/>
          <w:color w:val="333333"/>
          <w:sz w:val="32"/>
          <w:szCs w:val="32"/>
        </w:rPr>
        <w:t>～</w:t>
      </w:r>
      <w:r>
        <w:rPr>
          <w:rFonts w:hint="default" w:ascii="Times New Roman" w:hAnsi="Times New Roman" w:eastAsia="仿宋_GB2312" w:cs="Times New Roman"/>
          <w:color w:val="000000"/>
          <w:kern w:val="0"/>
          <w:sz w:val="32"/>
          <w:szCs w:val="32"/>
        </w:rPr>
        <w:t>23.56%。试验点Ⅰ各药剂组合处理作物产量较试验点Ⅱ低的原因在于两个试验点管理水平不同。其中，试验点Ⅰ为村集体用地（基本灌溉农田），管理水平较差；试验点Ⅱ由当地专业种植合作社进行田间管理，铺设滴</w:t>
      </w:r>
      <w:r>
        <w:rPr>
          <w:rFonts w:hint="default" w:ascii="Times New Roman" w:hAnsi="Times New Roman" w:eastAsia="仿宋_GB2312" w:cs="Times New Roman"/>
          <w:color w:val="000000"/>
          <w:kern w:val="0"/>
          <w:sz w:val="32"/>
          <w:szCs w:val="32"/>
          <w:lang w:eastAsia="zh-CN"/>
        </w:rPr>
        <w:t>灌</w:t>
      </w:r>
      <w:r>
        <w:rPr>
          <w:rFonts w:hint="default" w:ascii="Times New Roman" w:hAnsi="Times New Roman" w:eastAsia="仿宋_GB2312" w:cs="Times New Roman"/>
          <w:color w:val="000000"/>
          <w:kern w:val="0"/>
          <w:sz w:val="32"/>
          <w:szCs w:val="32"/>
        </w:rPr>
        <w:t>设施，作物全生育期用水充裕，造成了两个试验点作物产量的差异。</w:t>
      </w:r>
    </w:p>
    <w:p>
      <w:pPr>
        <w:spacing w:line="460" w:lineRule="exact"/>
        <w:jc w:val="center"/>
        <w:rPr>
          <w:rFonts w:hint="eastAsia" w:ascii="宋体" w:hAnsi="宋体" w:cs="宋体"/>
          <w:b/>
          <w:bCs/>
          <w:color w:val="000000"/>
          <w:kern w:val="0"/>
          <w:szCs w:val="21"/>
        </w:rPr>
      </w:pPr>
      <w:r>
        <w:rPr>
          <w:rFonts w:hint="eastAsia" w:ascii="宋体" w:hAnsi="宋体" w:cs="宋体"/>
          <w:b/>
          <w:bCs/>
          <w:color w:val="000000"/>
          <w:kern w:val="0"/>
          <w:szCs w:val="21"/>
        </w:rPr>
        <w:t>表</w:t>
      </w:r>
      <w:r>
        <w:rPr>
          <w:rFonts w:hint="eastAsia" w:ascii="宋体" w:hAnsi="宋体" w:cs="宋体"/>
          <w:b/>
          <w:bCs/>
          <w:color w:val="000000"/>
          <w:kern w:val="0"/>
          <w:szCs w:val="21"/>
          <w:lang w:val="en-US" w:eastAsia="zh-CN"/>
        </w:rPr>
        <w:t>5</w:t>
      </w:r>
      <w:r>
        <w:rPr>
          <w:rFonts w:hint="eastAsia" w:ascii="宋体" w:hAnsi="宋体" w:cs="宋体"/>
          <w:b/>
          <w:bCs/>
          <w:color w:val="000000"/>
          <w:kern w:val="0"/>
          <w:szCs w:val="21"/>
        </w:rPr>
        <w:t xml:space="preserve">  各药剂</w:t>
      </w:r>
      <w:r>
        <w:rPr>
          <w:rFonts w:ascii="宋体" w:hAnsi="宋体" w:cs="宋体"/>
          <w:b/>
          <w:bCs/>
          <w:color w:val="000000"/>
          <w:kern w:val="0"/>
          <w:szCs w:val="21"/>
        </w:rPr>
        <w:t>组合</w:t>
      </w:r>
      <w:r>
        <w:rPr>
          <w:rFonts w:hint="eastAsia" w:ascii="宋体" w:hAnsi="宋体" w:cs="宋体"/>
          <w:b/>
          <w:bCs/>
          <w:color w:val="000000"/>
          <w:kern w:val="0"/>
          <w:szCs w:val="21"/>
        </w:rPr>
        <w:t>处理小麦、大豆产量表现     单位</w:t>
      </w:r>
      <w:r>
        <w:rPr>
          <w:rFonts w:ascii="宋体" w:hAnsi="宋体" w:cs="宋体"/>
          <w:b/>
          <w:bCs/>
          <w:color w:val="000000"/>
          <w:kern w:val="0"/>
          <w:szCs w:val="21"/>
        </w:rPr>
        <w:t>：</w:t>
      </w:r>
      <w:r>
        <w:rPr>
          <w:rFonts w:hint="eastAsia" w:ascii="宋体" w:hAnsi="宋体" w:cs="宋体"/>
          <w:color w:val="333333"/>
          <w:sz w:val="28"/>
          <w:szCs w:val="28"/>
          <w:shd w:val="clear" w:color="auto" w:fill="FFFFFF"/>
        </w:rPr>
        <w:t>kg·</w:t>
      </w:r>
      <w:r>
        <w:rPr>
          <w:rFonts w:ascii="宋体" w:hAnsi="宋体" w:cs="宋体"/>
          <w:color w:val="333333"/>
          <w:sz w:val="28"/>
          <w:szCs w:val="28"/>
          <w:shd w:val="clear" w:color="auto" w:fill="FFFFFF"/>
        </w:rPr>
        <w:t>hm</w:t>
      </w:r>
      <w:r>
        <w:rPr>
          <w:rFonts w:ascii="宋体" w:hAnsi="宋体" w:cs="宋体"/>
          <w:color w:val="333333"/>
          <w:sz w:val="28"/>
          <w:szCs w:val="28"/>
          <w:shd w:val="clear" w:color="auto" w:fill="FFFFFF"/>
          <w:vertAlign w:val="superscript"/>
        </w:rPr>
        <w:t>-2</w:t>
      </w:r>
    </w:p>
    <w:tbl>
      <w:tblPr>
        <w:tblStyle w:val="1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6"/>
        <w:gridCol w:w="1789"/>
        <w:gridCol w:w="1785"/>
        <w:gridCol w:w="1785"/>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4" w:type="pct"/>
            <w:vMerge w:val="restart"/>
            <w:tcBorders>
              <w:top w:val="single" w:color="auto" w:sz="12" w:space="0"/>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处理</w:t>
            </w:r>
          </w:p>
        </w:tc>
        <w:tc>
          <w:tcPr>
            <w:tcW w:w="1998" w:type="pct"/>
            <w:gridSpan w:val="2"/>
            <w:tcBorders>
              <w:top w:val="single" w:color="auto" w:sz="12" w:space="0"/>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试验点</w:t>
            </w:r>
            <w:r>
              <w:rPr>
                <w:rFonts w:hint="eastAsia" w:ascii="宋体" w:hAnsi="宋体" w:eastAsia="宋体" w:cs="宋体"/>
                <w:sz w:val="21"/>
                <w:szCs w:val="21"/>
                <w:lang w:bidi="ar"/>
              </w:rPr>
              <w:t>Ⅰ</w:t>
            </w:r>
          </w:p>
        </w:tc>
        <w:tc>
          <w:tcPr>
            <w:tcW w:w="1998" w:type="pct"/>
            <w:gridSpan w:val="2"/>
            <w:tcBorders>
              <w:top w:val="single" w:color="auto" w:sz="12" w:space="0"/>
              <w:left w:val="nil"/>
              <w:bottom w:val="nil"/>
              <w:right w:val="nil"/>
            </w:tcBorders>
            <w:noWrap w:val="0"/>
            <w:vAlign w:val="center"/>
          </w:tcPr>
          <w:p>
            <w:pPr>
              <w:widowControl/>
              <w:spacing w:line="240" w:lineRule="exact"/>
              <w:ind w:left="-53" w:leftChars="-25" w:right="-53" w:rightChars="-25"/>
              <w:jc w:val="center"/>
              <w:textAlignment w:val="center"/>
              <w:rPr>
                <w:rFonts w:hint="eastAsia" w:ascii="宋体" w:hAnsi="宋体" w:eastAsia="宋体" w:cs="宋体"/>
                <w:sz w:val="21"/>
                <w:szCs w:val="21"/>
                <w:lang w:bidi="ar"/>
              </w:rPr>
            </w:pPr>
            <w:r>
              <w:rPr>
                <w:rFonts w:hint="eastAsia" w:ascii="宋体" w:hAnsi="宋体" w:eastAsia="宋体" w:cs="宋体"/>
                <w:sz w:val="21"/>
                <w:szCs w:val="21"/>
                <w:lang w:bidi="ar"/>
              </w:rPr>
              <w:t>试验点Ⅱ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1004" w:type="pct"/>
            <w:vMerge w:val="continue"/>
            <w:tcBorders>
              <w:top w:val="nil"/>
              <w:left w:val="nil"/>
              <w:bottom w:val="single" w:color="auto" w:sz="4" w:space="0"/>
              <w:right w:val="nil"/>
            </w:tcBorders>
            <w:noWrap w:val="0"/>
            <w:vAlign w:val="center"/>
          </w:tcPr>
          <w:p>
            <w:pPr>
              <w:spacing w:line="460" w:lineRule="exact"/>
              <w:jc w:val="center"/>
              <w:rPr>
                <w:rFonts w:hint="eastAsia" w:ascii="宋体" w:hAnsi="宋体" w:eastAsia="宋体" w:cs="宋体"/>
                <w:color w:val="000000"/>
                <w:kern w:val="0"/>
                <w:sz w:val="21"/>
                <w:szCs w:val="21"/>
              </w:rPr>
            </w:pPr>
          </w:p>
        </w:tc>
        <w:tc>
          <w:tcPr>
            <w:tcW w:w="1000" w:type="pct"/>
            <w:tcBorders>
              <w:top w:val="nil"/>
              <w:left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小麦</w:t>
            </w:r>
          </w:p>
        </w:tc>
        <w:tc>
          <w:tcPr>
            <w:tcW w:w="998" w:type="pct"/>
            <w:tcBorders>
              <w:top w:val="nil"/>
              <w:left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大豆</w:t>
            </w:r>
          </w:p>
        </w:tc>
        <w:tc>
          <w:tcPr>
            <w:tcW w:w="998" w:type="pct"/>
            <w:tcBorders>
              <w:top w:val="nil"/>
              <w:left w:val="nil"/>
              <w:bottom w:val="single" w:color="auto" w:sz="4" w:space="0"/>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小麦</w:t>
            </w:r>
          </w:p>
        </w:tc>
        <w:tc>
          <w:tcPr>
            <w:tcW w:w="1000" w:type="pct"/>
            <w:tcBorders>
              <w:top w:val="nil"/>
              <w:left w:val="nil"/>
              <w:bottom w:val="single" w:color="auto" w:sz="4" w:space="0"/>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大豆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04" w:type="pct"/>
            <w:tcBorders>
              <w:top w:val="single" w:color="auto" w:sz="4" w:space="0"/>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A</w:t>
            </w:r>
          </w:p>
        </w:tc>
        <w:tc>
          <w:tcPr>
            <w:tcW w:w="1000" w:type="pct"/>
            <w:tcBorders>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5 863.5</w:t>
            </w:r>
          </w:p>
        </w:tc>
        <w:tc>
          <w:tcPr>
            <w:tcW w:w="998" w:type="pct"/>
            <w:tcBorders>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1 776.0</w:t>
            </w:r>
          </w:p>
        </w:tc>
        <w:tc>
          <w:tcPr>
            <w:tcW w:w="998" w:type="pct"/>
            <w:tcBorders>
              <w:top w:val="single" w:color="auto" w:sz="4" w:space="0"/>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9 787.5</w:t>
            </w:r>
          </w:p>
        </w:tc>
        <w:tc>
          <w:tcPr>
            <w:tcW w:w="1000" w:type="pct"/>
            <w:tcBorders>
              <w:top w:val="single" w:color="auto" w:sz="4" w:space="0"/>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B</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5 992.5</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1 794.0</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9 859.5</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2 316.0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6 078.0</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1 860.0</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9 690.0</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2 316.0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D</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5 986.5</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1 854.0</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9 738.0</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2 362.5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E</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6 096.0</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1 935.0</w:t>
            </w:r>
          </w:p>
        </w:tc>
        <w:tc>
          <w:tcPr>
            <w:tcW w:w="998"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9 955.5</w:t>
            </w:r>
          </w:p>
        </w:tc>
        <w:tc>
          <w:tcPr>
            <w:tcW w:w="1000" w:type="pct"/>
            <w:tcBorders>
              <w:top w:val="nil"/>
              <w:left w:val="nil"/>
              <w:bottom w:val="nil"/>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2 269.5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4" w:type="pct"/>
            <w:tcBorders>
              <w:top w:val="nil"/>
              <w:left w:val="nil"/>
              <w:bottom w:val="single" w:color="auto" w:sz="12" w:space="0"/>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CK</w:t>
            </w:r>
          </w:p>
        </w:tc>
        <w:tc>
          <w:tcPr>
            <w:tcW w:w="1000" w:type="pct"/>
            <w:tcBorders>
              <w:top w:val="nil"/>
              <w:left w:val="nil"/>
              <w:bottom w:val="single" w:color="auto" w:sz="12" w:space="0"/>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5 740.5</w:t>
            </w:r>
          </w:p>
        </w:tc>
        <w:tc>
          <w:tcPr>
            <w:tcW w:w="998" w:type="pct"/>
            <w:tcBorders>
              <w:top w:val="nil"/>
              <w:left w:val="nil"/>
              <w:bottom w:val="single" w:color="auto" w:sz="12" w:space="0"/>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1 549.5</w:t>
            </w:r>
          </w:p>
        </w:tc>
        <w:tc>
          <w:tcPr>
            <w:tcW w:w="998" w:type="pct"/>
            <w:tcBorders>
              <w:top w:val="nil"/>
              <w:left w:val="nil"/>
              <w:bottom w:val="single" w:color="auto" w:sz="12" w:space="0"/>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7 563.0</w:t>
            </w:r>
          </w:p>
        </w:tc>
        <w:tc>
          <w:tcPr>
            <w:tcW w:w="1000" w:type="pct"/>
            <w:tcBorders>
              <w:top w:val="nil"/>
              <w:left w:val="nil"/>
              <w:bottom w:val="single" w:color="auto" w:sz="12" w:space="0"/>
              <w:right w:val="nil"/>
            </w:tcBorders>
            <w:noWrap w:val="0"/>
            <w:vAlign w:val="center"/>
          </w:tcPr>
          <w:p>
            <w:pPr>
              <w:spacing w:line="460" w:lineRule="exact"/>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1 806.0</w:t>
            </w:r>
          </w:p>
        </w:tc>
      </w:tr>
    </w:tbl>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宋体" w:hAnsi="宋体" w:cs="宋体"/>
          <w:sz w:val="28"/>
          <w:szCs w:val="28"/>
          <w:shd w:val="clear" w:color="auto" w:fill="FFFFFF"/>
        </w:rPr>
      </w:pPr>
      <w:r>
        <w:rPr>
          <w:rFonts w:hint="default" w:ascii="Times New Roman" w:hAnsi="Times New Roman" w:eastAsia="仿宋_GB2312" w:cs="Times New Roman"/>
          <w:kern w:val="0"/>
          <w:sz w:val="32"/>
          <w:szCs w:val="32"/>
        </w:rPr>
        <w:t>由图3可知，在试验点</w:t>
      </w:r>
      <w:r>
        <w:rPr>
          <w:rFonts w:hint="default" w:ascii="Times New Roman" w:hAnsi="Times New Roman" w:eastAsia="仿宋_GB2312" w:cs="Times New Roman"/>
          <w:color w:val="000000"/>
          <w:kern w:val="0"/>
          <w:sz w:val="32"/>
          <w:szCs w:val="32"/>
        </w:rPr>
        <w:t>Ⅰ</w:t>
      </w:r>
      <w:r>
        <w:rPr>
          <w:rFonts w:hint="default" w:ascii="Times New Roman" w:hAnsi="Times New Roman" w:eastAsia="仿宋_GB2312" w:cs="Times New Roman"/>
          <w:kern w:val="0"/>
          <w:sz w:val="32"/>
          <w:szCs w:val="32"/>
        </w:rPr>
        <w:t>，施用900 g·L</w:t>
      </w:r>
      <w:r>
        <w:rPr>
          <w:rFonts w:hint="default" w:ascii="Times New Roman" w:hAnsi="Times New Roman" w:eastAsia="仿宋_GB2312" w:cs="Times New Roman"/>
          <w:kern w:val="0"/>
          <w:sz w:val="32"/>
          <w:szCs w:val="32"/>
          <w:vertAlign w:val="superscript"/>
        </w:rPr>
        <w:t>-1</w:t>
      </w:r>
      <w:r>
        <w:rPr>
          <w:rFonts w:hint="default" w:ascii="Times New Roman" w:hAnsi="Times New Roman" w:eastAsia="仿宋_GB2312" w:cs="Times New Roman"/>
          <w:kern w:val="0"/>
          <w:sz w:val="32"/>
          <w:szCs w:val="32"/>
        </w:rPr>
        <w:t xml:space="preserve"> 2，4-滴异辛酯乳油+10%苯磺隆可湿性粉剂进行杂草防除处理（E处理）的小区产量均较CK增产最多，小麦最大增产355.5 </w:t>
      </w:r>
      <w:r>
        <w:rPr>
          <w:rFonts w:hint="default" w:ascii="Times New Roman" w:hAnsi="Times New Roman" w:eastAsia="仿宋_GB2312" w:cs="Times New Roman"/>
          <w:color w:val="333333"/>
          <w:sz w:val="32"/>
          <w:szCs w:val="32"/>
          <w:shd w:val="clear" w:color="auto" w:fill="FFFFFF"/>
        </w:rPr>
        <w:t>kg·hm</w:t>
      </w:r>
      <w:r>
        <w:rPr>
          <w:rFonts w:hint="default" w:ascii="Times New Roman" w:hAnsi="Times New Roman" w:eastAsia="仿宋_GB2312" w:cs="Times New Roman"/>
          <w:color w:val="333333"/>
          <w:sz w:val="32"/>
          <w:szCs w:val="32"/>
          <w:shd w:val="clear" w:color="auto" w:fill="FFFFFF"/>
          <w:vertAlign w:val="superscript"/>
        </w:rPr>
        <w:t>-2</w:t>
      </w:r>
      <w:r>
        <w:rPr>
          <w:rFonts w:hint="default" w:ascii="Times New Roman" w:hAnsi="Times New Roman" w:eastAsia="仿宋_GB2312" w:cs="Times New Roman"/>
          <w:sz w:val="32"/>
          <w:szCs w:val="32"/>
        </w:rPr>
        <w:t>，大豆最大增产385.5</w:t>
      </w:r>
      <w:r>
        <w:rPr>
          <w:rFonts w:hint="default" w:ascii="Times New Roman" w:hAnsi="Times New Roman" w:eastAsia="仿宋_GB2312" w:cs="Times New Roman"/>
          <w:color w:val="333333"/>
          <w:sz w:val="32"/>
          <w:szCs w:val="32"/>
          <w:shd w:val="clear" w:color="auto" w:fill="FFFFFF"/>
        </w:rPr>
        <w:t xml:space="preserve"> kg·hm</w:t>
      </w:r>
      <w:r>
        <w:rPr>
          <w:rFonts w:hint="default" w:ascii="Times New Roman" w:hAnsi="Times New Roman" w:eastAsia="仿宋_GB2312" w:cs="Times New Roman"/>
          <w:color w:val="333333"/>
          <w:sz w:val="32"/>
          <w:szCs w:val="32"/>
          <w:shd w:val="clear" w:color="auto" w:fill="FFFFFF"/>
          <w:vertAlign w:val="superscript"/>
        </w:rPr>
        <w:t>-2</w:t>
      </w:r>
      <w:r>
        <w:rPr>
          <w:rFonts w:hint="default" w:ascii="Times New Roman" w:hAnsi="Times New Roman" w:eastAsia="仿宋_GB2312" w:cs="Times New Roman"/>
          <w:sz w:val="32"/>
          <w:szCs w:val="32"/>
        </w:rPr>
        <w:t>。在试验点</w:t>
      </w:r>
      <w:r>
        <w:rPr>
          <w:rFonts w:hint="default" w:ascii="Times New Roman" w:hAnsi="Times New Roman" w:eastAsia="仿宋_GB2312" w:cs="Times New Roman"/>
          <w:color w:val="000000"/>
          <w:kern w:val="0"/>
          <w:sz w:val="32"/>
          <w:szCs w:val="32"/>
        </w:rPr>
        <w:t>Ⅱ</w:t>
      </w:r>
      <w:r>
        <w:rPr>
          <w:rFonts w:hint="default" w:ascii="Times New Roman" w:hAnsi="Times New Roman" w:eastAsia="仿宋_GB2312" w:cs="Times New Roman"/>
          <w:sz w:val="32"/>
          <w:szCs w:val="32"/>
        </w:rPr>
        <w:t>，</w:t>
      </w:r>
      <w:r>
        <w:rPr>
          <w:rFonts w:hint="default" w:ascii="Times New Roman" w:hAnsi="Times New Roman" w:eastAsia="仿宋_GB2312" w:cs="Times New Roman"/>
          <w:kern w:val="0"/>
          <w:sz w:val="32"/>
          <w:szCs w:val="32"/>
        </w:rPr>
        <w:t>施用900 g·L</w:t>
      </w:r>
      <w:r>
        <w:rPr>
          <w:rFonts w:hint="default" w:ascii="Times New Roman" w:hAnsi="Times New Roman" w:eastAsia="仿宋_GB2312" w:cs="Times New Roman"/>
          <w:kern w:val="0"/>
          <w:sz w:val="32"/>
          <w:szCs w:val="32"/>
          <w:vertAlign w:val="superscript"/>
        </w:rPr>
        <w:t>-1</w:t>
      </w:r>
      <w:r>
        <w:rPr>
          <w:rFonts w:hint="default" w:ascii="Times New Roman" w:hAnsi="Times New Roman" w:eastAsia="仿宋_GB2312" w:cs="Times New Roman"/>
          <w:kern w:val="0"/>
          <w:sz w:val="32"/>
          <w:szCs w:val="32"/>
        </w:rPr>
        <w:t xml:space="preserve"> 2，4-滴异辛酯乳油+10%苯磺隆可湿性粉剂进行杂草防除处理（E处理）的小区小麦产量较CK增产最多，为2 392.5</w:t>
      </w:r>
      <w:r>
        <w:rPr>
          <w:rFonts w:hint="default" w:ascii="Times New Roman" w:hAnsi="Times New Roman" w:eastAsia="仿宋_GB2312" w:cs="Times New Roman"/>
          <w:color w:val="333333"/>
          <w:sz w:val="32"/>
          <w:szCs w:val="32"/>
          <w:shd w:val="clear" w:color="auto" w:fill="FFFFFF"/>
        </w:rPr>
        <w:t xml:space="preserve"> kg·hm</w:t>
      </w:r>
      <w:r>
        <w:rPr>
          <w:rFonts w:hint="default" w:ascii="Times New Roman" w:hAnsi="Times New Roman" w:eastAsia="仿宋_GB2312" w:cs="Times New Roman"/>
          <w:color w:val="333333"/>
          <w:sz w:val="32"/>
          <w:szCs w:val="32"/>
          <w:shd w:val="clear" w:color="auto" w:fill="FFFFFF"/>
          <w:vertAlign w:val="superscript"/>
        </w:rPr>
        <w:t>-2</w:t>
      </w:r>
      <w:r>
        <w:rPr>
          <w:rFonts w:hint="default" w:ascii="Times New Roman" w:hAnsi="Times New Roman" w:eastAsia="仿宋_GB2312" w:cs="Times New Roman"/>
          <w:sz w:val="32"/>
          <w:szCs w:val="32"/>
        </w:rPr>
        <w:t xml:space="preserve">；施用69 </w:t>
      </w:r>
      <w:r>
        <w:rPr>
          <w:rFonts w:hint="default" w:ascii="Times New Roman" w:hAnsi="Times New Roman" w:eastAsia="仿宋_GB2312" w:cs="Times New Roman"/>
          <w:kern w:val="0"/>
          <w:sz w:val="32"/>
          <w:szCs w:val="32"/>
        </w:rPr>
        <w:t>g·L</w:t>
      </w:r>
      <w:r>
        <w:rPr>
          <w:rFonts w:hint="default" w:ascii="Times New Roman" w:hAnsi="Times New Roman" w:eastAsia="仿宋_GB2312" w:cs="Times New Roman"/>
          <w:kern w:val="0"/>
          <w:sz w:val="32"/>
          <w:szCs w:val="32"/>
          <w:vertAlign w:val="superscript"/>
        </w:rPr>
        <w:t>-1</w:t>
      </w:r>
      <w:r>
        <w:rPr>
          <w:rFonts w:hint="default" w:ascii="Times New Roman" w:hAnsi="Times New Roman" w:eastAsia="仿宋_GB2312" w:cs="Times New Roman"/>
          <w:sz w:val="32"/>
          <w:szCs w:val="32"/>
        </w:rPr>
        <w:t>精噁唑禾草灵水乳剂+10%苯磺隆可湿性粉剂进行杂草防除处理（D处理）的小区大豆产量较</w:t>
      </w:r>
      <w:r>
        <w:rPr>
          <w:rFonts w:hint="default" w:ascii="Times New Roman" w:hAnsi="Times New Roman" w:eastAsia="仿宋_GB2312" w:cs="Times New Roman"/>
          <w:kern w:val="0"/>
          <w:sz w:val="32"/>
          <w:szCs w:val="32"/>
        </w:rPr>
        <w:t>CK</w:t>
      </w:r>
      <w:r>
        <w:rPr>
          <w:rFonts w:hint="default" w:ascii="Times New Roman" w:hAnsi="Times New Roman" w:eastAsia="仿宋_GB2312" w:cs="Times New Roman"/>
          <w:sz w:val="32"/>
          <w:szCs w:val="32"/>
        </w:rPr>
        <w:t>增产最多，为556.5</w:t>
      </w:r>
      <w:r>
        <w:rPr>
          <w:rFonts w:hint="default" w:ascii="Times New Roman" w:hAnsi="Times New Roman" w:eastAsia="仿宋_GB2312" w:cs="Times New Roman"/>
          <w:color w:val="333333"/>
          <w:sz w:val="32"/>
          <w:szCs w:val="32"/>
          <w:shd w:val="clear" w:color="auto" w:fill="FFFFFF"/>
        </w:rPr>
        <w:t xml:space="preserve"> kg·hm</w:t>
      </w:r>
      <w:r>
        <w:rPr>
          <w:rFonts w:hint="default" w:ascii="Times New Roman" w:hAnsi="Times New Roman" w:eastAsia="仿宋_GB2312" w:cs="Times New Roman"/>
          <w:color w:val="333333"/>
          <w:sz w:val="32"/>
          <w:szCs w:val="32"/>
          <w:shd w:val="clear" w:color="auto" w:fill="FFFFFF"/>
          <w:vertAlign w:val="superscript"/>
        </w:rPr>
        <w:t>-2</w:t>
      </w:r>
      <w:r>
        <w:rPr>
          <w:rFonts w:hint="default" w:ascii="Times New Roman" w:hAnsi="Times New Roman" w:eastAsia="仿宋_GB2312" w:cs="Times New Roman"/>
          <w:sz w:val="32"/>
          <w:szCs w:val="32"/>
        </w:rPr>
        <w:t>。</w:t>
      </w:r>
    </w:p>
    <w:p>
      <w:pPr>
        <w:spacing w:line="240" w:lineRule="exact"/>
        <w:rPr>
          <w:rFonts w:hint="eastAsia" w:ascii="宋体" w:hAnsi="宋体" w:cs="宋体"/>
          <w:b/>
          <w:szCs w:val="21"/>
        </w:rPr>
      </w:pPr>
      <w:r>
        <w:rPr>
          <w:rFonts w:hint="eastAsia" w:ascii="宋体" w:hAnsi="宋体" w:cs="宋体"/>
          <w:color w:val="000000"/>
          <w:kern w:val="0"/>
          <w:sz w:val="28"/>
          <w:szCs w:val="28"/>
        </w:rPr>
        <w:drawing>
          <wp:anchor distT="0" distB="0" distL="114300" distR="114300" simplePos="0" relativeHeight="251662336" behindDoc="0" locked="0" layoutInCell="1" allowOverlap="1">
            <wp:simplePos x="0" y="0"/>
            <wp:positionH relativeFrom="column">
              <wp:posOffset>2672080</wp:posOffset>
            </wp:positionH>
            <wp:positionV relativeFrom="paragraph">
              <wp:posOffset>54610</wp:posOffset>
            </wp:positionV>
            <wp:extent cx="2643505" cy="2196465"/>
            <wp:effectExtent l="0" t="0" r="4445" b="13335"/>
            <wp:wrapTopAndBottom/>
            <wp:docPr id="7" name="图片 6" descr="0e62a1f1c120c422b6d99f6e48e6d2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0e62a1f1c120c422b6d99f6e48e6d2d"/>
                    <pic:cNvPicPr>
                      <a:picLocks noChangeAspect="1"/>
                    </pic:cNvPicPr>
                  </pic:nvPicPr>
                  <pic:blipFill>
                    <a:blip r:embed="rId10"/>
                    <a:stretch>
                      <a:fillRect/>
                    </a:stretch>
                  </pic:blipFill>
                  <pic:spPr>
                    <a:xfrm>
                      <a:off x="0" y="0"/>
                      <a:ext cx="2643505" cy="2196465"/>
                    </a:xfrm>
                    <a:prstGeom prst="rect">
                      <a:avLst/>
                    </a:prstGeom>
                    <a:noFill/>
                    <a:ln>
                      <a:noFill/>
                    </a:ln>
                  </pic:spPr>
                </pic:pic>
              </a:graphicData>
            </a:graphic>
          </wp:anchor>
        </w:drawing>
      </w:r>
      <w:r>
        <w:rPr>
          <w:rFonts w:hint="eastAsia" w:ascii="宋体" w:hAnsi="宋体" w:cs="宋体"/>
          <w:color w:val="000000"/>
          <w:kern w:val="0"/>
          <w:sz w:val="28"/>
          <w:szCs w:val="28"/>
        </w:rPr>
        <w:drawing>
          <wp:anchor distT="0" distB="0" distL="114300" distR="114300" simplePos="0" relativeHeight="251661312" behindDoc="0" locked="0" layoutInCell="1" allowOverlap="1">
            <wp:simplePos x="0" y="0"/>
            <wp:positionH relativeFrom="column">
              <wp:posOffset>50800</wp:posOffset>
            </wp:positionH>
            <wp:positionV relativeFrom="paragraph">
              <wp:posOffset>55880</wp:posOffset>
            </wp:positionV>
            <wp:extent cx="2635885" cy="2190750"/>
            <wp:effectExtent l="0" t="0" r="12065" b="0"/>
            <wp:wrapTopAndBottom/>
            <wp:docPr id="8" name="图片 7" descr="a2c774a0d26c8f09b56f65b139015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a2c774a0d26c8f09b56f65b139015e1"/>
                    <pic:cNvPicPr>
                      <a:picLocks noChangeAspect="1"/>
                    </pic:cNvPicPr>
                  </pic:nvPicPr>
                  <pic:blipFill>
                    <a:blip r:embed="rId11"/>
                    <a:stretch>
                      <a:fillRect/>
                    </a:stretch>
                  </pic:blipFill>
                  <pic:spPr>
                    <a:xfrm>
                      <a:off x="0" y="0"/>
                      <a:ext cx="2635885" cy="2190750"/>
                    </a:xfrm>
                    <a:prstGeom prst="rect">
                      <a:avLst/>
                    </a:prstGeom>
                    <a:noFill/>
                    <a:ln>
                      <a:noFill/>
                    </a:ln>
                  </pic:spPr>
                </pic:pic>
              </a:graphicData>
            </a:graphic>
          </wp:anchor>
        </w:drawing>
      </w:r>
      <w:r>
        <w:rPr>
          <w:rFonts w:hint="eastAsia" w:ascii="宋体" w:hAnsi="宋体" w:cs="宋体"/>
          <w:color w:val="000000"/>
          <w:kern w:val="0"/>
          <w:sz w:val="28"/>
          <w:szCs w:val="28"/>
        </w:rPr>
        <w:t xml:space="preserve">             </w:t>
      </w:r>
      <w:r>
        <w:rPr>
          <w:rFonts w:hint="eastAsia" w:ascii="宋体" w:hAnsi="宋体" w:cs="宋体"/>
          <w:b/>
          <w:szCs w:val="21"/>
        </w:rPr>
        <w:t>试验点Ⅰ                                 试验点Ⅱ</w:t>
      </w:r>
    </w:p>
    <w:p>
      <w:pPr>
        <w:spacing w:line="240" w:lineRule="exact"/>
        <w:jc w:val="center"/>
        <w:rPr>
          <w:rFonts w:hint="eastAsia" w:ascii="宋体" w:hAnsi="宋体" w:cs="宋体"/>
          <w:b/>
          <w:szCs w:val="21"/>
        </w:rPr>
      </w:pPr>
      <w:r>
        <w:rPr>
          <w:rFonts w:hint="eastAsia" w:ascii="宋体" w:hAnsi="宋体" w:cs="宋体"/>
          <w:b/>
          <w:szCs w:val="21"/>
        </w:rPr>
        <w:t>图3 各药剂</w:t>
      </w:r>
      <w:r>
        <w:rPr>
          <w:rFonts w:ascii="宋体" w:hAnsi="宋体" w:cs="宋体"/>
          <w:b/>
          <w:szCs w:val="21"/>
        </w:rPr>
        <w:t>组合</w:t>
      </w:r>
      <w:r>
        <w:rPr>
          <w:rFonts w:hint="eastAsia" w:ascii="宋体" w:hAnsi="宋体" w:cs="宋体"/>
          <w:b/>
          <w:szCs w:val="21"/>
        </w:rPr>
        <w:t>处理较CK增产情况</w:t>
      </w:r>
    </w:p>
    <w:p>
      <w:pPr>
        <w:keepNext w:val="0"/>
        <w:keepLines w:val="0"/>
        <w:pageBreakBefore w:val="0"/>
        <w:widowControl w:val="0"/>
        <w:kinsoku/>
        <w:wordWrap/>
        <w:overflowPunct/>
        <w:topLinePunct w:val="0"/>
        <w:autoSpaceDE/>
        <w:autoSpaceDN/>
        <w:bidi w:val="0"/>
        <w:adjustRightInd/>
        <w:snapToGrid/>
        <w:spacing w:before="156" w:beforeLines="50" w:after="156" w:afterLines="50" w:line="600" w:lineRule="exact"/>
        <w:ind w:firstLine="643" w:firstLineChars="200"/>
        <w:jc w:val="both"/>
        <w:textAlignment w:val="auto"/>
        <w:rPr>
          <w:rFonts w:hint="default" w:ascii="Times New Roman" w:hAnsi="Times New Roman" w:eastAsia="仿宋_GB2312" w:cs="Times New Roman"/>
          <w:b/>
          <w:bCs/>
          <w:color w:val="333333"/>
          <w:sz w:val="32"/>
          <w:szCs w:val="32"/>
          <w:shd w:val="clear" w:color="auto" w:fill="FFFFFF"/>
          <w:lang w:eastAsia="zh-CN"/>
        </w:rPr>
      </w:pPr>
      <w:r>
        <w:rPr>
          <w:rFonts w:hint="default" w:ascii="Times New Roman" w:hAnsi="Times New Roman" w:eastAsia="仿宋_GB2312" w:cs="Times New Roman"/>
          <w:b/>
          <w:bCs/>
          <w:color w:val="333333"/>
          <w:sz w:val="32"/>
          <w:szCs w:val="32"/>
          <w:shd w:val="clear" w:color="auto" w:fill="FFFFFF"/>
          <w:lang w:val="en-US" w:eastAsia="zh-CN"/>
        </w:rPr>
        <w:t>1.5</w:t>
      </w:r>
      <w:r>
        <w:rPr>
          <w:rFonts w:hint="default" w:ascii="Times New Roman" w:hAnsi="Times New Roman" w:eastAsia="仿宋_GB2312" w:cs="Times New Roman"/>
          <w:b/>
          <w:bCs/>
          <w:color w:val="333333"/>
          <w:sz w:val="32"/>
          <w:szCs w:val="32"/>
          <w:shd w:val="clear" w:color="auto" w:fill="FFFFFF"/>
          <w:lang w:eastAsia="zh-CN"/>
        </w:rPr>
        <w:t>试验结论</w:t>
      </w:r>
    </w:p>
    <w:p>
      <w:pPr>
        <w:pStyle w:val="16"/>
        <w:keepNext w:val="0"/>
        <w:keepLines w:val="0"/>
        <w:pageBreakBefore w:val="0"/>
        <w:widowControl w:val="0"/>
        <w:kinsoku/>
        <w:wordWrap/>
        <w:overflowPunct/>
        <w:topLinePunct w:val="0"/>
        <w:autoSpaceDE/>
        <w:autoSpaceDN/>
        <w:bidi w:val="0"/>
        <w:adjustRightInd/>
        <w:snapToGrid/>
        <w:spacing w:line="600" w:lineRule="exact"/>
        <w:ind w:firstLine="643"/>
        <w:jc w:val="both"/>
        <w:textAlignment w:val="auto"/>
        <w:rPr>
          <w:rFonts w:ascii="Times New Roman" w:hAnsi="Times New Roman" w:eastAsia="仿宋_GB2312" w:cs="Times New Roman"/>
          <w:b/>
          <w:bCs/>
          <w:sz w:val="32"/>
          <w:szCs w:val="32"/>
        </w:rPr>
      </w:pPr>
      <w:r>
        <w:rPr>
          <w:rFonts w:hint="default" w:ascii="Times New Roman" w:hAnsi="Times New Roman" w:eastAsia="仿宋_GB2312" w:cs="Times New Roman"/>
          <w:sz w:val="32"/>
          <w:szCs w:val="32"/>
        </w:rPr>
        <w:t>混合复配的5种药剂组合对小麦套种大豆田间杂草均有明显防除效果，且对小麦、大豆生长均无药害风险，安全性较高。其中， 900 g·L</w:t>
      </w:r>
      <w:r>
        <w:rPr>
          <w:rFonts w:hint="default" w:ascii="Times New Roman" w:hAnsi="Times New Roman" w:eastAsia="仿宋_GB2312" w:cs="Times New Roman"/>
          <w:sz w:val="32"/>
          <w:szCs w:val="32"/>
          <w:vertAlign w:val="superscript"/>
        </w:rPr>
        <w:t>-1</w:t>
      </w:r>
      <w:r>
        <w:rPr>
          <w:rFonts w:hint="default" w:ascii="Times New Roman" w:hAnsi="Times New Roman" w:eastAsia="仿宋_GB2312" w:cs="Times New Roman"/>
          <w:sz w:val="32"/>
          <w:szCs w:val="32"/>
        </w:rPr>
        <w:t xml:space="preserve"> 2，4-滴异辛酯乳油复配10%苯磺隆可湿性粉剂处理（E处理）在不同施药方式下，对小麦套种大豆田阔叶类杂草的防除效果最好、持效性最长，30 d平均防效可达93.1%，作物产量损失也小于其他药剂组合。从施药方式看，施用900 g·L</w:t>
      </w:r>
      <w:r>
        <w:rPr>
          <w:rFonts w:hint="default" w:ascii="Times New Roman" w:hAnsi="Times New Roman" w:eastAsia="仿宋_GB2312" w:cs="Times New Roman"/>
          <w:sz w:val="32"/>
          <w:szCs w:val="32"/>
          <w:vertAlign w:val="superscript"/>
        </w:rPr>
        <w:t>-1</w:t>
      </w:r>
      <w:r>
        <w:rPr>
          <w:rFonts w:hint="default" w:ascii="Times New Roman" w:hAnsi="Times New Roman" w:eastAsia="仿宋_GB2312" w:cs="Times New Roman"/>
          <w:sz w:val="32"/>
          <w:szCs w:val="32"/>
        </w:rPr>
        <w:t xml:space="preserve"> 2，4-滴异辛酯+10%苯磺隆可湿性粉剂处理（E处理）在小麦苗后大豆出苗前一次性除草效果优于分作物隔离定向除草效果，且操作简单、安全性高，不易造成漂移药害。</w:t>
      </w:r>
    </w:p>
    <w:p>
      <w:pPr>
        <w:pStyle w:val="16"/>
        <w:keepNext w:val="0"/>
        <w:keepLines w:val="0"/>
        <w:pageBreakBefore w:val="0"/>
        <w:widowControl w:val="0"/>
        <w:kinsoku/>
        <w:wordWrap/>
        <w:overflowPunct/>
        <w:topLinePunct w:val="0"/>
        <w:autoSpaceDE/>
        <w:autoSpaceDN/>
        <w:bidi w:val="0"/>
        <w:adjustRightInd/>
        <w:snapToGrid/>
        <w:spacing w:line="600" w:lineRule="exact"/>
        <w:ind w:firstLine="643"/>
        <w:jc w:val="both"/>
        <w:textAlignment w:val="auto"/>
        <w:rPr>
          <w:rFonts w:hint="eastAsia" w:ascii="仿宋_GB2312" w:hAnsi="宋体" w:eastAsia="仿宋_GB2312"/>
          <w:b/>
          <w:bCs/>
          <w:sz w:val="32"/>
          <w:szCs w:val="32"/>
          <w:lang w:eastAsia="zh-CN"/>
        </w:rPr>
      </w:pPr>
      <w:r>
        <w:rPr>
          <w:rFonts w:hint="eastAsia" w:ascii="Times New Roman" w:hAnsi="Times New Roman" w:eastAsia="仿宋_GB2312" w:cs="Times New Roman"/>
          <w:b/>
          <w:bCs/>
          <w:sz w:val="32"/>
          <w:szCs w:val="32"/>
          <w:lang w:val="en-US" w:eastAsia="zh-CN"/>
        </w:rPr>
        <w:t>2</w:t>
      </w:r>
      <w:r>
        <w:rPr>
          <w:rFonts w:ascii="Times New Roman" w:hAnsi="Times New Roman" w:eastAsia="仿宋_GB2312" w:cs="Times New Roman"/>
          <w:b/>
          <w:bCs/>
          <w:sz w:val="32"/>
          <w:szCs w:val="32"/>
        </w:rPr>
        <w:t>.</w:t>
      </w:r>
      <w:r>
        <w:rPr>
          <w:rFonts w:hint="eastAsia" w:ascii="Times New Roman" w:hAnsi="Times New Roman" w:eastAsia="仿宋_GB2312" w:cs="Times New Roman"/>
          <w:b/>
          <w:bCs/>
          <w:sz w:val="32"/>
          <w:szCs w:val="32"/>
          <w:lang w:eastAsia="zh-CN"/>
        </w:rPr>
        <w:t>病虫害防效试验</w:t>
      </w:r>
    </w:p>
    <w:p>
      <w:pPr>
        <w:pStyle w:val="16"/>
        <w:keepNext w:val="0"/>
        <w:keepLines w:val="0"/>
        <w:pageBreakBefore w:val="0"/>
        <w:widowControl w:val="0"/>
        <w:kinsoku/>
        <w:wordWrap/>
        <w:overflowPunct/>
        <w:topLinePunct w:val="0"/>
        <w:autoSpaceDE/>
        <w:autoSpaceDN/>
        <w:bidi w:val="0"/>
        <w:adjustRightInd/>
        <w:snapToGrid/>
        <w:spacing w:line="600" w:lineRule="exact"/>
        <w:ind w:firstLine="643"/>
        <w:jc w:val="both"/>
        <w:textAlignment w:val="auto"/>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2.1小麦茎基腐防控试验</w:t>
      </w:r>
    </w:p>
    <w:p>
      <w:pPr>
        <w:keepNext w:val="0"/>
        <w:keepLines w:val="0"/>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2025年，组织开展小麦茎基腐防控试验。试验布设在张易镇陈沟村，属于阴湿区雨养农业、无灌溉条件，是固原市原州区小麦主产区、小麦条锈病、白粉病、蚜虫、藜等病虫草害常年较重发生，土壤类型为黑垆土、肥力中等，栽培管理水平较高且基本一致。4月7日播种，播种方式为条播、播种量22.5公斤/亩，亩保苗42.5万株。3种参试药剂按照施用方式设置拌种、叶面喷雾、一拌一喷处理和空白对照进行组合，共设置6个处理见表6。</w:t>
      </w:r>
    </w:p>
    <w:tbl>
      <w:tblPr>
        <w:tblStyle w:val="10"/>
        <w:tblW w:w="791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1"/>
        <w:gridCol w:w="3673"/>
        <w:gridCol w:w="2325"/>
        <w:gridCol w:w="12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jc w:val="center"/>
        </w:trPr>
        <w:tc>
          <w:tcPr>
            <w:tcW w:w="7911" w:type="dxa"/>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表6 试验各处理药剂种类、施用方式及剂量设计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5" w:hRule="atLeast"/>
          <w:jc w:val="center"/>
        </w:trPr>
        <w:tc>
          <w:tcPr>
            <w:tcW w:w="711" w:type="dxa"/>
            <w:vMerge w:val="restart"/>
            <w:tcBorders>
              <w:top w:val="single" w:color="000000" w:sz="8"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处理编号</w:t>
            </w:r>
          </w:p>
        </w:tc>
        <w:tc>
          <w:tcPr>
            <w:tcW w:w="3673" w:type="dxa"/>
            <w:vMerge w:val="restart"/>
            <w:tcBorders>
              <w:top w:val="single" w:color="000000" w:sz="8"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药剂名称</w:t>
            </w:r>
          </w:p>
        </w:tc>
        <w:tc>
          <w:tcPr>
            <w:tcW w:w="3527" w:type="dxa"/>
            <w:gridSpan w:val="2"/>
            <w:tcBorders>
              <w:top w:val="single" w:color="000000" w:sz="8"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施药方式及剂量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 w:hRule="atLeast"/>
          <w:jc w:val="center"/>
        </w:trPr>
        <w:tc>
          <w:tcPr>
            <w:tcW w:w="711" w:type="dxa"/>
            <w:vMerge w:val="continue"/>
            <w:tcBorders>
              <w:top w:val="single" w:color="000000" w:sz="8" w:space="0"/>
              <w:left w:val="nil"/>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3673" w:type="dxa"/>
            <w:vMerge w:val="continue"/>
            <w:tcBorders>
              <w:top w:val="single" w:color="000000" w:sz="8" w:space="0"/>
              <w:left w:val="nil"/>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2325" w:type="dxa"/>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拌种</w:t>
            </w:r>
          </w:p>
        </w:tc>
        <w:tc>
          <w:tcPr>
            <w:tcW w:w="1202" w:type="dxa"/>
            <w:tcBorders>
              <w:top w:val="single" w:color="000000" w:sz="4" w:space="0"/>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喷雾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71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673"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200克/升三氟吡啶胺种子处理悬浮剂</w:t>
            </w:r>
          </w:p>
        </w:tc>
        <w:tc>
          <w:tcPr>
            <w:tcW w:w="23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300毫升/100千克种子</w:t>
            </w:r>
          </w:p>
        </w:tc>
        <w:tc>
          <w:tcPr>
            <w:tcW w:w="120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71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673"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40%丙硫菌唑·戊唑醇悬浮剂</w:t>
            </w:r>
          </w:p>
        </w:tc>
        <w:tc>
          <w:tcPr>
            <w:tcW w:w="23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40毫升/亩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2" w:hRule="atLeast"/>
          <w:jc w:val="center"/>
        </w:trPr>
        <w:tc>
          <w:tcPr>
            <w:tcW w:w="71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673"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27%戊唑·噻霉酮水乳剂</w:t>
            </w:r>
          </w:p>
        </w:tc>
        <w:tc>
          <w:tcPr>
            <w:tcW w:w="23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60毫升/亩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4" w:hRule="atLeast"/>
          <w:jc w:val="center"/>
        </w:trPr>
        <w:tc>
          <w:tcPr>
            <w:tcW w:w="71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673"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200克/升三氟吡啶胺种子处理悬浮剂+40%丙硫菌唑·戊唑醇悬浮剂</w:t>
            </w:r>
          </w:p>
        </w:tc>
        <w:tc>
          <w:tcPr>
            <w:tcW w:w="23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300毫升/100千克种子</w:t>
            </w:r>
          </w:p>
        </w:tc>
        <w:tc>
          <w:tcPr>
            <w:tcW w:w="120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40毫升/亩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jc w:val="center"/>
        </w:trPr>
        <w:tc>
          <w:tcPr>
            <w:tcW w:w="71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673"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200克/升三氟吡啶胺种子处理悬浮剂+27%戊唑·噻霉酮水乳剂</w:t>
            </w:r>
          </w:p>
        </w:tc>
        <w:tc>
          <w:tcPr>
            <w:tcW w:w="2325"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300毫升/100千克种子</w:t>
            </w:r>
          </w:p>
        </w:tc>
        <w:tc>
          <w:tcPr>
            <w:tcW w:w="120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60毫升/亩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11"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3673"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空白处理</w:t>
            </w:r>
          </w:p>
        </w:tc>
        <w:tc>
          <w:tcPr>
            <w:tcW w:w="2325"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1202" w:type="dxa"/>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bl>
    <w:p>
      <w:pPr>
        <w:pStyle w:val="16"/>
        <w:keepNext w:val="0"/>
        <w:keepLines w:val="0"/>
        <w:pageBreakBefore w:val="0"/>
        <w:widowControl w:val="0"/>
        <w:kinsoku/>
        <w:wordWrap/>
        <w:overflowPunct/>
        <w:topLinePunct w:val="0"/>
        <w:autoSpaceDE/>
        <w:autoSpaceDN/>
        <w:bidi w:val="0"/>
        <w:adjustRightInd/>
        <w:snapToGrid/>
        <w:spacing w:line="600" w:lineRule="exact"/>
        <w:ind w:firstLine="643"/>
        <w:textAlignment w:val="auto"/>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从防治效果看，处理4三氟吡啶胺拌种+丙硫菌唑·戊唑醇叶面喷雾对小麦茎基腐病的防效最高，为74.50%，其次为处理5三氟吡啶胺拌种+戊唑·噻霉酮叶面喷雾，防效为72.84%，二者在0.05与0.01水平下无差异，与其他处理差异极显著；处理1三氟吡啶胺拌种防效为63.88%，在0.05与0.01水平下与处理2、处理3差异极显著；处理2丙硫菌唑·戊唑醇叶面喷雾防效为57.57%，处理3戊唑·噻霉酮叶面喷雾防效为53.89%，二者在0.05水平下差异极显著 、在0.01水平下无差异（表7）。</w:t>
      </w:r>
    </w:p>
    <w:tbl>
      <w:tblPr>
        <w:tblStyle w:val="10"/>
        <w:tblW w:w="5576" w:type="pct"/>
        <w:tblInd w:w="-4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4"/>
        <w:gridCol w:w="799"/>
        <w:gridCol w:w="628"/>
        <w:gridCol w:w="728"/>
        <w:gridCol w:w="771"/>
        <w:gridCol w:w="728"/>
        <w:gridCol w:w="756"/>
        <w:gridCol w:w="724"/>
        <w:gridCol w:w="661"/>
        <w:gridCol w:w="724"/>
        <w:gridCol w:w="756"/>
        <w:gridCol w:w="709"/>
        <w:gridCol w:w="724"/>
        <w:gridCol w:w="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黑体" w:hAnsi="宋体" w:eastAsia="黑体" w:cs="黑体"/>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表7 各处理病株率、病情指数及防治效果统计与方差分析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57" w:type="pct"/>
            <w:vMerge w:val="restart"/>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079" w:type="pct"/>
            <w:gridSpan w:val="3"/>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Ⅰ</w:t>
            </w:r>
          </w:p>
        </w:tc>
        <w:tc>
          <w:tcPr>
            <w:tcW w:w="1129" w:type="pct"/>
            <w:gridSpan w:val="3"/>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Ⅱ</w:t>
            </w:r>
          </w:p>
        </w:tc>
        <w:tc>
          <w:tcPr>
            <w:tcW w:w="1057" w:type="pct"/>
            <w:gridSpan w:val="3"/>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Ⅱ</w:t>
            </w:r>
          </w:p>
        </w:tc>
        <w:tc>
          <w:tcPr>
            <w:tcW w:w="733" w:type="pct"/>
            <w:gridSpan w:val="2"/>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平均</w:t>
            </w:r>
          </w:p>
        </w:tc>
        <w:tc>
          <w:tcPr>
            <w:tcW w:w="741" w:type="pct"/>
            <w:gridSpan w:val="2"/>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差异显著性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57" w:type="pct"/>
            <w:vMerge w:val="continue"/>
            <w:tcBorders>
              <w:top w:val="single" w:color="000000" w:sz="8" w:space="0"/>
              <w:left w:val="nil"/>
              <w:bottom w:val="nil"/>
              <w:right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4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病株率</w:t>
            </w:r>
          </w:p>
        </w:tc>
        <w:tc>
          <w:tcPr>
            <w:tcW w:w="31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病指</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防效</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病株率</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病指</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防效</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病株率</w:t>
            </w:r>
          </w:p>
        </w:tc>
        <w:tc>
          <w:tcPr>
            <w:tcW w:w="3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病指</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防效</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病株率</w:t>
            </w:r>
          </w:p>
        </w:tc>
        <w:tc>
          <w:tcPr>
            <w:tcW w:w="35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防效</w:t>
            </w:r>
          </w:p>
        </w:tc>
        <w:tc>
          <w:tcPr>
            <w:tcW w:w="363" w:type="pct"/>
            <w:vMerge w:val="restart"/>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0.05 </w:t>
            </w:r>
          </w:p>
        </w:tc>
        <w:tc>
          <w:tcPr>
            <w:tcW w:w="378" w:type="pct"/>
            <w:vMerge w:val="restart"/>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 xml:space="preserve">0.01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57" w:type="pct"/>
            <w:vMerge w:val="continue"/>
            <w:tcBorders>
              <w:top w:val="single" w:color="000000" w:sz="8" w:space="0"/>
              <w:left w:val="nil"/>
              <w:bottom w:val="nil"/>
              <w:right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079" w:type="pct"/>
            <w:gridSpan w:val="3"/>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1129" w:type="pct"/>
            <w:gridSpan w:val="3"/>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1057" w:type="pct"/>
            <w:gridSpan w:val="3"/>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733" w:type="pct"/>
            <w:gridSpan w:val="2"/>
            <w:tcBorders>
              <w:top w:val="nil"/>
              <w:left w:val="nil"/>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63" w:type="pct"/>
            <w:vMerge w:val="continue"/>
            <w:tcBorders>
              <w:top w:val="nil"/>
              <w:left w:val="nil"/>
              <w:bottom w:val="single" w:color="000000" w:sz="4" w:space="0"/>
              <w:right w:val="nil"/>
            </w:tcBorders>
            <w:shd w:val="clear" w:color="auto" w:fill="auto"/>
            <w:vAlign w:val="center"/>
          </w:tcPr>
          <w:p>
            <w:pPr>
              <w:jc w:val="center"/>
              <w:rPr>
                <w:rFonts w:hint="eastAsia" w:ascii="宋体" w:hAnsi="宋体" w:eastAsia="宋体" w:cs="宋体"/>
                <w:b w:val="0"/>
                <w:bCs w:val="0"/>
                <w:i w:val="0"/>
                <w:iCs w:val="0"/>
                <w:color w:val="000000"/>
                <w:sz w:val="21"/>
                <w:szCs w:val="21"/>
                <w:u w:val="none"/>
              </w:rPr>
            </w:pPr>
          </w:p>
        </w:tc>
        <w:tc>
          <w:tcPr>
            <w:tcW w:w="378" w:type="pct"/>
            <w:vMerge w:val="continue"/>
            <w:tcBorders>
              <w:top w:val="nil"/>
              <w:left w:val="nil"/>
              <w:bottom w:val="single" w:color="000000" w:sz="4" w:space="0"/>
              <w:right w:val="nil"/>
            </w:tcBorders>
            <w:shd w:val="clear" w:color="auto" w:fill="auto"/>
            <w:vAlign w:val="center"/>
          </w:tcPr>
          <w:p>
            <w:pPr>
              <w:jc w:val="center"/>
              <w:rPr>
                <w:rFonts w:hint="eastAsia" w:ascii="宋体" w:hAnsi="宋体" w:eastAsia="宋体" w:cs="宋体"/>
                <w:b w:val="0"/>
                <w:bCs w:val="0"/>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exact"/>
        </w:trPr>
        <w:tc>
          <w:tcPr>
            <w:tcW w:w="257"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1</w:t>
            </w:r>
          </w:p>
        </w:tc>
        <w:tc>
          <w:tcPr>
            <w:tcW w:w="4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6.00 </w:t>
            </w:r>
          </w:p>
        </w:tc>
        <w:tc>
          <w:tcPr>
            <w:tcW w:w="31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2.96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63.37 </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6.00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2.88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65.38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5.60 </w:t>
            </w:r>
          </w:p>
        </w:tc>
        <w:tc>
          <w:tcPr>
            <w:tcW w:w="3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2.88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62.89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5.87 </w:t>
            </w:r>
          </w:p>
        </w:tc>
        <w:tc>
          <w:tcPr>
            <w:tcW w:w="35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63.88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b</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exact"/>
        </w:trPr>
        <w:tc>
          <w:tcPr>
            <w:tcW w:w="25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2</w:t>
            </w:r>
          </w:p>
        </w:tc>
        <w:tc>
          <w:tcPr>
            <w:tcW w:w="4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7.60 </w:t>
            </w:r>
          </w:p>
        </w:tc>
        <w:tc>
          <w:tcPr>
            <w:tcW w:w="31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3.60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55.45 </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6.80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3.28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60.58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7.20 </w:t>
            </w:r>
          </w:p>
        </w:tc>
        <w:tc>
          <w:tcPr>
            <w:tcW w:w="3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3.36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56.70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7.20 </w:t>
            </w:r>
          </w:p>
        </w:tc>
        <w:tc>
          <w:tcPr>
            <w:tcW w:w="35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57.57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c</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exact"/>
        </w:trPr>
        <w:tc>
          <w:tcPr>
            <w:tcW w:w="25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3</w:t>
            </w:r>
          </w:p>
        </w:tc>
        <w:tc>
          <w:tcPr>
            <w:tcW w:w="4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8.00 </w:t>
            </w:r>
          </w:p>
        </w:tc>
        <w:tc>
          <w:tcPr>
            <w:tcW w:w="31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3.76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53.47 </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7.60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3.52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57.69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8.00 </w:t>
            </w:r>
          </w:p>
        </w:tc>
        <w:tc>
          <w:tcPr>
            <w:tcW w:w="3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3.84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50.52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7.87 </w:t>
            </w:r>
          </w:p>
        </w:tc>
        <w:tc>
          <w:tcPr>
            <w:tcW w:w="35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53.89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d</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exact"/>
        </w:trPr>
        <w:tc>
          <w:tcPr>
            <w:tcW w:w="25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4</w:t>
            </w:r>
          </w:p>
        </w:tc>
        <w:tc>
          <w:tcPr>
            <w:tcW w:w="4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4.40 </w:t>
            </w:r>
          </w:p>
        </w:tc>
        <w:tc>
          <w:tcPr>
            <w:tcW w:w="31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2.00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75.25 </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4.40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2.16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74.04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4.40 </w:t>
            </w:r>
          </w:p>
        </w:tc>
        <w:tc>
          <w:tcPr>
            <w:tcW w:w="3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2.00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74.23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4.40 </w:t>
            </w:r>
          </w:p>
        </w:tc>
        <w:tc>
          <w:tcPr>
            <w:tcW w:w="35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74.50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exact"/>
        </w:trPr>
        <w:tc>
          <w:tcPr>
            <w:tcW w:w="25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5</w:t>
            </w:r>
          </w:p>
        </w:tc>
        <w:tc>
          <w:tcPr>
            <w:tcW w:w="400"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4.80 </w:t>
            </w:r>
          </w:p>
        </w:tc>
        <w:tc>
          <w:tcPr>
            <w:tcW w:w="31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2.16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73.27 </w:t>
            </w:r>
          </w:p>
        </w:tc>
        <w:tc>
          <w:tcPr>
            <w:tcW w:w="38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4.80 </w:t>
            </w:r>
          </w:p>
        </w:tc>
        <w:tc>
          <w:tcPr>
            <w:tcW w:w="364"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2.24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u w:val="none"/>
              </w:rPr>
            </w:pPr>
            <w:r>
              <w:rPr>
                <w:rFonts w:hint="eastAsia" w:ascii="宋体" w:hAnsi="宋体" w:eastAsia="宋体" w:cs="宋体"/>
                <w:b w:val="0"/>
                <w:bCs w:val="0"/>
                <w:i w:val="0"/>
                <w:iCs w:val="0"/>
                <w:color w:val="auto"/>
                <w:kern w:val="0"/>
                <w:sz w:val="21"/>
                <w:szCs w:val="21"/>
                <w:u w:val="none"/>
                <w:lang w:val="en-US" w:eastAsia="zh-CN" w:bidi="ar"/>
              </w:rPr>
              <w:t xml:space="preserve">73.08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4.80 </w:t>
            </w:r>
          </w:p>
        </w:tc>
        <w:tc>
          <w:tcPr>
            <w:tcW w:w="3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2.16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72.16 </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4.80 </w:t>
            </w:r>
          </w:p>
        </w:tc>
        <w:tc>
          <w:tcPr>
            <w:tcW w:w="35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72.84 </w:t>
            </w:r>
          </w:p>
        </w:tc>
        <w:tc>
          <w:tcPr>
            <w:tcW w:w="3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c>
          <w:tcPr>
            <w:tcW w:w="3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exact"/>
        </w:trPr>
        <w:tc>
          <w:tcPr>
            <w:tcW w:w="257"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6</w:t>
            </w:r>
          </w:p>
        </w:tc>
        <w:tc>
          <w:tcPr>
            <w:tcW w:w="400"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14.40 </w:t>
            </w:r>
          </w:p>
        </w:tc>
        <w:tc>
          <w:tcPr>
            <w:tcW w:w="314"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8.08 </w:t>
            </w:r>
          </w:p>
        </w:tc>
        <w:tc>
          <w:tcPr>
            <w:tcW w:w="364"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b w:val="0"/>
                <w:bCs w:val="0"/>
                <w:i w:val="0"/>
                <w:iCs w:val="0"/>
                <w:color w:val="000000"/>
                <w:sz w:val="21"/>
                <w:szCs w:val="21"/>
                <w:u w:val="none"/>
              </w:rPr>
            </w:pPr>
          </w:p>
        </w:tc>
        <w:tc>
          <w:tcPr>
            <w:tcW w:w="386"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14.8</w:t>
            </w:r>
          </w:p>
        </w:tc>
        <w:tc>
          <w:tcPr>
            <w:tcW w:w="364"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8.32</w:t>
            </w:r>
          </w:p>
        </w:tc>
        <w:tc>
          <w:tcPr>
            <w:tcW w:w="378"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b w:val="0"/>
                <w:bCs w:val="0"/>
                <w:i w:val="0"/>
                <w:iCs w:val="0"/>
                <w:color w:val="000000"/>
                <w:sz w:val="21"/>
                <w:szCs w:val="21"/>
                <w:u w:val="none"/>
              </w:rPr>
            </w:pPr>
          </w:p>
        </w:tc>
        <w:tc>
          <w:tcPr>
            <w:tcW w:w="363"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13.60 </w:t>
            </w:r>
          </w:p>
        </w:tc>
        <w:tc>
          <w:tcPr>
            <w:tcW w:w="331"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7.76 </w:t>
            </w:r>
          </w:p>
        </w:tc>
        <w:tc>
          <w:tcPr>
            <w:tcW w:w="363"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b w:val="0"/>
                <w:bCs w:val="0"/>
                <w:i w:val="0"/>
                <w:iCs w:val="0"/>
                <w:color w:val="000000"/>
                <w:sz w:val="21"/>
                <w:szCs w:val="21"/>
                <w:u w:val="none"/>
              </w:rPr>
            </w:pPr>
          </w:p>
        </w:tc>
        <w:tc>
          <w:tcPr>
            <w:tcW w:w="378"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14.27 </w:t>
            </w:r>
          </w:p>
        </w:tc>
        <w:tc>
          <w:tcPr>
            <w:tcW w:w="355"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b w:val="0"/>
                <w:bCs w:val="0"/>
                <w:i w:val="0"/>
                <w:iCs w:val="0"/>
                <w:color w:val="000000"/>
                <w:sz w:val="21"/>
                <w:szCs w:val="21"/>
                <w:u w:val="none"/>
              </w:rPr>
            </w:pPr>
          </w:p>
        </w:tc>
        <w:tc>
          <w:tcPr>
            <w:tcW w:w="363"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e</w:t>
            </w:r>
          </w:p>
        </w:tc>
        <w:tc>
          <w:tcPr>
            <w:tcW w:w="378"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D</w:t>
            </w:r>
          </w:p>
        </w:tc>
      </w:tr>
    </w:tbl>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b/>
          <w:bCs/>
          <w:color w:val="FF0000"/>
          <w:sz w:val="32"/>
          <w:szCs w:val="40"/>
          <w:lang w:val="en-US" w:eastAsia="zh-CN"/>
        </w:rPr>
      </w:pPr>
      <w:r>
        <w:rPr>
          <w:rFonts w:hint="eastAsia" w:ascii="Times New Roman" w:hAnsi="Times New Roman" w:eastAsia="仿宋_GB2312" w:cs="Times New Roman"/>
          <w:kern w:val="2"/>
          <w:sz w:val="32"/>
          <w:szCs w:val="32"/>
          <w:lang w:val="en-US" w:eastAsia="zh-CN" w:bidi="ar-SA"/>
        </w:rPr>
        <w:t>从产量情况看，处理4三氟吡啶胺拌种+丙硫菌唑·戊唑醇叶面喷雾小麦产量最高，亩产为396.69公斤，较对照增产19.32%，在0.05水平下与处理5、处理2无差异，与其他处理差异不显著，在0.01水平下与其他处理差异显著；其次为处理5三氟吡啶胺拌种+戊唑·噻霉酮叶面喷雾，亩产389.13公斤较对照增产17.05%，在0.05水平下与处理4、处理2无差异，在0.01水平下与处理1、2、3无差异，与处理6差异不显著；处理2丙硫菌唑·戊唑醇叶面喷雾亩产量为375.91公斤，在0.05水平下与处理4、处理5无差异，与其他处理差异不显著，在0.01水平下与其他处理差异不显著；处理3戊唑·噻霉酮叶面喷雾亩产量为370.24公斤，在0.05、0.01水平下与其他处理差异不显著；处理1三氟吡啶胺拌种亩产为357.02公斤，在0.05、0.01水平下与其他处理差异不显著（表8）。</w:t>
      </w:r>
      <w:r>
        <w:rPr>
          <w:rFonts w:hint="eastAsia" w:ascii="仿宋" w:hAnsi="仿宋" w:eastAsia="仿宋" w:cs="仿宋"/>
          <w:color w:val="FF0000"/>
          <w:sz w:val="32"/>
          <w:szCs w:val="40"/>
          <w:lang w:val="en-US" w:eastAsia="zh-CN"/>
        </w:rPr>
        <w:t xml:space="preserve">  </w:t>
      </w:r>
    </w:p>
    <w:tbl>
      <w:tblPr>
        <w:tblStyle w:val="10"/>
        <w:tblW w:w="5224"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66"/>
        <w:gridCol w:w="2688"/>
        <w:gridCol w:w="1027"/>
        <w:gridCol w:w="895"/>
        <w:gridCol w:w="961"/>
        <w:gridCol w:w="929"/>
        <w:gridCol w:w="866"/>
        <w:gridCol w:w="740"/>
        <w:gridCol w:w="6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jc w:val="center"/>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1"/>
                <w:szCs w:val="21"/>
                <w:u w:val="none"/>
                <w:lang w:val="en-US" w:eastAsia="zh-CN" w:bidi="ar"/>
              </w:rPr>
              <w:t>表8 试验各处理产量统计与方差分析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exact"/>
          <w:jc w:val="center"/>
        </w:trPr>
        <w:tc>
          <w:tcPr>
            <w:tcW w:w="302" w:type="pct"/>
            <w:vMerge w:val="restart"/>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437" w:type="pct"/>
            <w:vMerge w:val="restart"/>
            <w:tcBorders>
              <w:top w:val="single" w:color="000000" w:sz="8" w:space="0"/>
              <w:left w:val="nil"/>
              <w:right w:val="nil"/>
            </w:tcBorders>
            <w:shd w:val="clear" w:color="auto" w:fill="auto"/>
            <w:vAlign w:val="center"/>
          </w:tcPr>
          <w:p>
            <w:pPr>
              <w:jc w:val="center"/>
              <w:rPr>
                <w:rFonts w:hint="eastAsia" w:ascii="宋体" w:hAnsi="宋体" w:eastAsia="宋体" w:cs="宋体"/>
                <w:b/>
                <w:bCs/>
                <w:i w:val="0"/>
                <w:iCs w:val="0"/>
                <w:color w:val="000000"/>
                <w:sz w:val="21"/>
                <w:szCs w:val="21"/>
                <w:u w:val="none"/>
                <w:lang w:eastAsia="zh-CN"/>
              </w:rPr>
            </w:pPr>
            <w:r>
              <w:rPr>
                <w:rFonts w:hint="eastAsia" w:ascii="宋体" w:hAnsi="宋体" w:eastAsia="宋体" w:cs="宋体"/>
                <w:b/>
                <w:bCs/>
                <w:i w:val="0"/>
                <w:iCs w:val="0"/>
                <w:color w:val="000000"/>
                <w:sz w:val="21"/>
                <w:szCs w:val="21"/>
                <w:u w:val="none"/>
                <w:lang w:eastAsia="zh-CN"/>
              </w:rPr>
              <w:t>处理名称</w:t>
            </w:r>
          </w:p>
        </w:tc>
        <w:tc>
          <w:tcPr>
            <w:tcW w:w="2038" w:type="pct"/>
            <w:gridSpan w:val="4"/>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实际产量（kg/mu）</w:t>
            </w:r>
          </w:p>
        </w:tc>
        <w:tc>
          <w:tcPr>
            <w:tcW w:w="463" w:type="pct"/>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增产率</w:t>
            </w:r>
          </w:p>
        </w:tc>
        <w:tc>
          <w:tcPr>
            <w:tcW w:w="758" w:type="pct"/>
            <w:gridSpan w:val="2"/>
            <w:tcBorders>
              <w:top w:val="single" w:color="000000" w:sz="8"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差异显著性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exact"/>
          <w:jc w:val="center"/>
        </w:trPr>
        <w:tc>
          <w:tcPr>
            <w:tcW w:w="302" w:type="pct"/>
            <w:vMerge w:val="continue"/>
            <w:tcBorders>
              <w:top w:val="single" w:color="000000" w:sz="8" w:space="0"/>
              <w:left w:val="nil"/>
              <w:bottom w:val="nil"/>
              <w:right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1437" w:type="pct"/>
            <w:vMerge w:val="continue"/>
            <w:tcBorders>
              <w:left w:val="nil"/>
              <w:bottom w:val="nil"/>
              <w:right w:val="nil"/>
            </w:tcBorders>
            <w:shd w:val="clear" w:color="auto" w:fill="auto"/>
            <w:vAlign w:val="center"/>
          </w:tcPr>
          <w:p>
            <w:pPr>
              <w:jc w:val="center"/>
              <w:rPr>
                <w:rFonts w:hint="eastAsia" w:ascii="宋体" w:hAnsi="宋体" w:eastAsia="宋体" w:cs="宋体"/>
                <w:b/>
                <w:bCs/>
                <w:i w:val="0"/>
                <w:iCs w:val="0"/>
                <w:color w:val="000000"/>
                <w:sz w:val="21"/>
                <w:szCs w:val="21"/>
                <w:u w:val="none"/>
              </w:rPr>
            </w:pPr>
          </w:p>
        </w:tc>
        <w:tc>
          <w:tcPr>
            <w:tcW w:w="549"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Ⅰ</w:t>
            </w:r>
          </w:p>
        </w:tc>
        <w:tc>
          <w:tcPr>
            <w:tcW w:w="478"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Ⅱ</w:t>
            </w:r>
          </w:p>
        </w:tc>
        <w:tc>
          <w:tcPr>
            <w:tcW w:w="513"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Ⅲ</w:t>
            </w:r>
          </w:p>
        </w:tc>
        <w:tc>
          <w:tcPr>
            <w:tcW w:w="496"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平均</w:t>
            </w:r>
          </w:p>
        </w:tc>
        <w:tc>
          <w:tcPr>
            <w:tcW w:w="463"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w:t>
            </w:r>
          </w:p>
        </w:tc>
        <w:tc>
          <w:tcPr>
            <w:tcW w:w="395"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0.05</w:t>
            </w:r>
          </w:p>
        </w:tc>
        <w:tc>
          <w:tcPr>
            <w:tcW w:w="362"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exact"/>
          <w:jc w:val="center"/>
        </w:trPr>
        <w:tc>
          <w:tcPr>
            <w:tcW w:w="302"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1</w:t>
            </w:r>
          </w:p>
        </w:tc>
        <w:tc>
          <w:tcPr>
            <w:tcW w:w="1437"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三氟吡啶胺拌种</w:t>
            </w:r>
          </w:p>
        </w:tc>
        <w:tc>
          <w:tcPr>
            <w:tcW w:w="549"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362.68 </w:t>
            </w:r>
          </w:p>
        </w:tc>
        <w:tc>
          <w:tcPr>
            <w:tcW w:w="478"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357.02 </w:t>
            </w:r>
          </w:p>
        </w:tc>
        <w:tc>
          <w:tcPr>
            <w:tcW w:w="513"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351.35 </w:t>
            </w:r>
          </w:p>
        </w:tc>
        <w:tc>
          <w:tcPr>
            <w:tcW w:w="496"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357.02 </w:t>
            </w:r>
          </w:p>
        </w:tc>
        <w:tc>
          <w:tcPr>
            <w:tcW w:w="463"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7.39 </w:t>
            </w:r>
          </w:p>
        </w:tc>
        <w:tc>
          <w:tcPr>
            <w:tcW w:w="395"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ab</w:t>
            </w:r>
          </w:p>
        </w:tc>
        <w:tc>
          <w:tcPr>
            <w:tcW w:w="362" w:type="pct"/>
            <w:tcBorders>
              <w:top w:val="single" w:color="000000" w:sz="4" w:space="0"/>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exact"/>
          <w:jc w:val="center"/>
        </w:trPr>
        <w:tc>
          <w:tcPr>
            <w:tcW w:w="30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2</w:t>
            </w:r>
          </w:p>
        </w:tc>
        <w:tc>
          <w:tcPr>
            <w:tcW w:w="143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丙硫菌唑·戊唑醇喷雾</w:t>
            </w:r>
          </w:p>
        </w:tc>
        <w:tc>
          <w:tcPr>
            <w:tcW w:w="549"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391.02 </w:t>
            </w:r>
          </w:p>
        </w:tc>
        <w:tc>
          <w:tcPr>
            <w:tcW w:w="4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362.68 </w:t>
            </w:r>
          </w:p>
        </w:tc>
        <w:tc>
          <w:tcPr>
            <w:tcW w:w="51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374.02 </w:t>
            </w:r>
          </w:p>
        </w:tc>
        <w:tc>
          <w:tcPr>
            <w:tcW w:w="49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375.91 </w:t>
            </w:r>
          </w:p>
        </w:tc>
        <w:tc>
          <w:tcPr>
            <w:tcW w:w="4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13.07 </w:t>
            </w:r>
          </w:p>
        </w:tc>
        <w:tc>
          <w:tcPr>
            <w:tcW w:w="39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c>
          <w:tcPr>
            <w:tcW w:w="36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2" w:hRule="exact"/>
          <w:jc w:val="center"/>
        </w:trPr>
        <w:tc>
          <w:tcPr>
            <w:tcW w:w="30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3</w:t>
            </w:r>
          </w:p>
        </w:tc>
        <w:tc>
          <w:tcPr>
            <w:tcW w:w="143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戊唑·噻霉酮喷雾</w:t>
            </w:r>
          </w:p>
        </w:tc>
        <w:tc>
          <w:tcPr>
            <w:tcW w:w="549"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391.02 </w:t>
            </w:r>
          </w:p>
        </w:tc>
        <w:tc>
          <w:tcPr>
            <w:tcW w:w="4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351.35 </w:t>
            </w:r>
          </w:p>
        </w:tc>
        <w:tc>
          <w:tcPr>
            <w:tcW w:w="51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368.35 </w:t>
            </w:r>
          </w:p>
        </w:tc>
        <w:tc>
          <w:tcPr>
            <w:tcW w:w="49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370.24 </w:t>
            </w:r>
          </w:p>
        </w:tc>
        <w:tc>
          <w:tcPr>
            <w:tcW w:w="4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11.36 </w:t>
            </w:r>
          </w:p>
        </w:tc>
        <w:tc>
          <w:tcPr>
            <w:tcW w:w="39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ab</w:t>
            </w:r>
          </w:p>
        </w:tc>
        <w:tc>
          <w:tcPr>
            <w:tcW w:w="36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7" w:hRule="exact"/>
          <w:jc w:val="center"/>
        </w:trPr>
        <w:tc>
          <w:tcPr>
            <w:tcW w:w="30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4</w:t>
            </w:r>
          </w:p>
        </w:tc>
        <w:tc>
          <w:tcPr>
            <w:tcW w:w="143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三氟吡啶胺拌种+丙硫菌唑·戊唑醇喷雾</w:t>
            </w:r>
          </w:p>
        </w:tc>
        <w:tc>
          <w:tcPr>
            <w:tcW w:w="549"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396.69 </w:t>
            </w:r>
          </w:p>
        </w:tc>
        <w:tc>
          <w:tcPr>
            <w:tcW w:w="4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419.35 </w:t>
            </w:r>
          </w:p>
        </w:tc>
        <w:tc>
          <w:tcPr>
            <w:tcW w:w="51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374.02 </w:t>
            </w:r>
          </w:p>
        </w:tc>
        <w:tc>
          <w:tcPr>
            <w:tcW w:w="49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396.69 </w:t>
            </w:r>
          </w:p>
        </w:tc>
        <w:tc>
          <w:tcPr>
            <w:tcW w:w="4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19.32 </w:t>
            </w:r>
          </w:p>
        </w:tc>
        <w:tc>
          <w:tcPr>
            <w:tcW w:w="39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c>
          <w:tcPr>
            <w:tcW w:w="36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exact"/>
          <w:jc w:val="center"/>
        </w:trPr>
        <w:tc>
          <w:tcPr>
            <w:tcW w:w="30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5</w:t>
            </w:r>
          </w:p>
        </w:tc>
        <w:tc>
          <w:tcPr>
            <w:tcW w:w="1437"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三氟吡啶胺拌种+戊唑·噻霉酮喷雾</w:t>
            </w:r>
          </w:p>
        </w:tc>
        <w:tc>
          <w:tcPr>
            <w:tcW w:w="549"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408.02 </w:t>
            </w:r>
          </w:p>
        </w:tc>
        <w:tc>
          <w:tcPr>
            <w:tcW w:w="478"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391.02 </w:t>
            </w:r>
          </w:p>
        </w:tc>
        <w:tc>
          <w:tcPr>
            <w:tcW w:w="51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368.35 </w:t>
            </w:r>
          </w:p>
        </w:tc>
        <w:tc>
          <w:tcPr>
            <w:tcW w:w="496"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389.13 </w:t>
            </w:r>
          </w:p>
        </w:tc>
        <w:tc>
          <w:tcPr>
            <w:tcW w:w="463"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17.05 </w:t>
            </w:r>
          </w:p>
        </w:tc>
        <w:tc>
          <w:tcPr>
            <w:tcW w:w="395"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w:t>
            </w:r>
          </w:p>
        </w:tc>
        <w:tc>
          <w:tcPr>
            <w:tcW w:w="362"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AB</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exact"/>
          <w:jc w:val="center"/>
        </w:trPr>
        <w:tc>
          <w:tcPr>
            <w:tcW w:w="302"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6</w:t>
            </w:r>
          </w:p>
        </w:tc>
        <w:tc>
          <w:tcPr>
            <w:tcW w:w="1437"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空白对照</w:t>
            </w:r>
          </w:p>
        </w:tc>
        <w:tc>
          <w:tcPr>
            <w:tcW w:w="549"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300.35 </w:t>
            </w:r>
          </w:p>
        </w:tc>
        <w:tc>
          <w:tcPr>
            <w:tcW w:w="478"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328.68 </w:t>
            </w:r>
          </w:p>
        </w:tc>
        <w:tc>
          <w:tcPr>
            <w:tcW w:w="513"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368.35 </w:t>
            </w:r>
          </w:p>
        </w:tc>
        <w:tc>
          <w:tcPr>
            <w:tcW w:w="496"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332.46 </w:t>
            </w:r>
          </w:p>
        </w:tc>
        <w:tc>
          <w:tcPr>
            <w:tcW w:w="463"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b w:val="0"/>
                <w:bCs w:val="0"/>
                <w:i w:val="0"/>
                <w:iCs w:val="0"/>
                <w:color w:val="FF0000"/>
                <w:sz w:val="21"/>
                <w:szCs w:val="21"/>
                <w:u w:val="none"/>
              </w:rPr>
            </w:pPr>
          </w:p>
        </w:tc>
        <w:tc>
          <w:tcPr>
            <w:tcW w:w="395"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b</w:t>
            </w:r>
          </w:p>
        </w:tc>
        <w:tc>
          <w:tcPr>
            <w:tcW w:w="362"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 xml:space="preserve"> B</w:t>
            </w:r>
          </w:p>
        </w:tc>
      </w:tr>
    </w:tbl>
    <w:p>
      <w:pPr>
        <w:pStyle w:val="16"/>
        <w:ind w:left="0" w:leftChars="0" w:firstLine="640" w:firstLineChars="200"/>
        <w:rPr>
          <w:rFonts w:hint="eastAsia" w:ascii="仿宋" w:hAnsi="仿宋" w:eastAsia="仿宋" w:cs="仿宋"/>
          <w:sz w:val="32"/>
          <w:szCs w:val="40"/>
          <w:lang w:eastAsia="zh-CN"/>
        </w:rPr>
      </w:pPr>
      <w:r>
        <w:rPr>
          <w:rFonts w:hint="eastAsia" w:ascii="Times New Roman" w:hAnsi="Times New Roman" w:eastAsia="仿宋_GB2312" w:cs="Times New Roman"/>
          <w:kern w:val="2"/>
          <w:sz w:val="32"/>
          <w:szCs w:val="32"/>
          <w:lang w:val="en-US" w:eastAsia="zh-CN" w:bidi="ar-SA"/>
        </w:rPr>
        <w:t>试验结果初步验证，试验药剂对小麦生长安全，药剂拌种处理不仅能够增加出苗率而且减轻小麦茎基腐病侵染，药剂拌种+在小麦分蘖期至拔节前进行喷雾施药处理可进一步提高小麦茎基腐病的防治效果。在病害发生区，采用三氟吡啶胺拌种+丙硫菌唑·戊唑醇叶面喷雾或三氟吡啶胺拌种+戊唑·噻霉酮喷雾可起到降低病害发生并增产的效果。</w:t>
      </w:r>
    </w:p>
    <w:p>
      <w:pPr>
        <w:pStyle w:val="16"/>
        <w:ind w:firstLine="643"/>
        <w:rPr>
          <w:rFonts w:hint="default"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2.2大豆田叶螨防效试验</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b w:val="0"/>
          <w:bCs/>
          <w:color w:val="000000"/>
          <w:sz w:val="32"/>
          <w:szCs w:val="32"/>
          <w:lang w:val="en-US" w:eastAsia="zh-CN"/>
        </w:rPr>
        <w:t>2023-2024年，组织开展大豆田叶螨防效试验。</w:t>
      </w:r>
      <w:r>
        <w:rPr>
          <w:rFonts w:hint="default" w:ascii="Times New Roman" w:hAnsi="Times New Roman" w:eastAsia="仿宋_GB2312" w:cs="Times New Roman"/>
          <w:b w:val="0"/>
          <w:bCs/>
          <w:color w:val="000000"/>
          <w:sz w:val="32"/>
          <w:szCs w:val="32"/>
          <w:lang w:val="en-US" w:eastAsia="zh-CN"/>
        </w:rPr>
        <w:t>试验共4个处理</w:t>
      </w:r>
      <w:r>
        <w:rPr>
          <w:rFonts w:hint="eastAsia" w:ascii="Times New Roman" w:hAnsi="Times New Roman" w:eastAsia="仿宋_GB2312" w:cs="Times New Roman"/>
          <w:b w:val="0"/>
          <w:bCs/>
          <w:color w:val="000000"/>
          <w:sz w:val="32"/>
          <w:szCs w:val="32"/>
          <w:lang w:val="en-US" w:eastAsia="zh-CN"/>
        </w:rPr>
        <w:t>（表9）</w:t>
      </w:r>
      <w:r>
        <w:rPr>
          <w:rFonts w:hint="default" w:ascii="Times New Roman" w:hAnsi="Times New Roman" w:eastAsia="仿宋_GB2312" w:cs="Times New Roman"/>
          <w:b w:val="0"/>
          <w:bCs/>
          <w:color w:val="000000"/>
          <w:sz w:val="32"/>
          <w:szCs w:val="32"/>
          <w:lang w:val="en-US" w:eastAsia="zh-CN"/>
        </w:rPr>
        <w:t>，每处理重复3次，共12个小区,每小区</w:t>
      </w:r>
      <w:r>
        <w:rPr>
          <w:rFonts w:hint="default" w:ascii="Times New Roman" w:hAnsi="Times New Roman" w:eastAsia="仿宋_GB2312" w:cs="Times New Roman"/>
          <w:sz w:val="32"/>
          <w:szCs w:val="32"/>
          <w:lang w:val="en-US" w:eastAsia="zh-CN"/>
        </w:rPr>
        <w:t>面积为115㎡（4.6ｍ×25ｍ）（即4+4豆玉复合种植模式一个种植单元，长度为25ｍ），</w:t>
      </w:r>
      <w:r>
        <w:rPr>
          <w:rFonts w:hint="default" w:ascii="Times New Roman" w:hAnsi="Times New Roman" w:eastAsia="仿宋_GB2312" w:cs="Times New Roman"/>
          <w:sz w:val="32"/>
          <w:szCs w:val="32"/>
          <w:lang w:eastAsia="zh-CN"/>
        </w:rPr>
        <w:t>第1次重复顺序排列，其它重复随机排列。</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jc w:val="center"/>
        <w:textAlignment w:val="auto"/>
        <w:rPr>
          <w:rFonts w:hint="default" w:ascii="Times New Roman" w:hAnsi="Times New Roman" w:eastAsia="仿宋_GB2312" w:cs="Times New Roman"/>
          <w:sz w:val="32"/>
          <w:szCs w:val="32"/>
          <w:lang w:eastAsia="zh-CN"/>
        </w:rPr>
      </w:pPr>
      <w:r>
        <w:rPr>
          <w:rFonts w:hint="eastAsia" w:ascii="宋体" w:hAnsi="宋体" w:eastAsia="宋体" w:cs="宋体"/>
          <w:b/>
          <w:bCs/>
          <w:i w:val="0"/>
          <w:iCs w:val="0"/>
          <w:color w:val="000000"/>
          <w:kern w:val="0"/>
          <w:sz w:val="21"/>
          <w:szCs w:val="21"/>
          <w:u w:val="none"/>
          <w:lang w:val="en-US" w:eastAsia="zh-CN" w:bidi="ar"/>
        </w:rPr>
        <w:t>表9 试验处理设置</w:t>
      </w:r>
    </w:p>
    <w:tbl>
      <w:tblPr>
        <w:tblStyle w:val="10"/>
        <w:tblW w:w="88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1"/>
        <w:gridCol w:w="4366"/>
        <w:gridCol w:w="3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1" w:type="dxa"/>
            <w:tcBorders>
              <w:top w:val="single" w:color="auto" w:sz="12" w:space="0"/>
              <w:left w:val="nil"/>
              <w:bottom w:val="single" w:color="auto" w:sz="4"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处理编号</w:t>
            </w:r>
          </w:p>
        </w:tc>
        <w:tc>
          <w:tcPr>
            <w:tcW w:w="4366" w:type="dxa"/>
            <w:tcBorders>
              <w:top w:val="single" w:color="auto" w:sz="12" w:space="0"/>
              <w:left w:val="nil"/>
              <w:bottom w:val="single" w:color="auto" w:sz="4"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药    剂</w:t>
            </w:r>
          </w:p>
        </w:tc>
        <w:tc>
          <w:tcPr>
            <w:tcW w:w="3001" w:type="dxa"/>
            <w:tcBorders>
              <w:top w:val="single" w:color="auto" w:sz="12" w:space="0"/>
              <w:left w:val="nil"/>
              <w:bottom w:val="single" w:color="auto" w:sz="4"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施药剂量（制剂量）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1" w:type="dxa"/>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A</w:t>
            </w:r>
          </w:p>
        </w:tc>
        <w:tc>
          <w:tcPr>
            <w:tcW w:w="4366" w:type="dxa"/>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30%乙唑螨腈悬浮剂</w:t>
            </w:r>
          </w:p>
        </w:tc>
        <w:tc>
          <w:tcPr>
            <w:tcW w:w="3001" w:type="dxa"/>
            <w:tcBorders>
              <w:top w:val="single" w:color="auto" w:sz="4" w:space="0"/>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000倍液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1"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B</w:t>
            </w:r>
          </w:p>
        </w:tc>
        <w:tc>
          <w:tcPr>
            <w:tcW w:w="436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30%阿维·螺螨酯悬浮剂</w:t>
            </w:r>
          </w:p>
        </w:tc>
        <w:tc>
          <w:tcPr>
            <w:tcW w:w="3001"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7000</w:t>
            </w:r>
            <w:r>
              <w:rPr>
                <w:rFonts w:hint="eastAsia" w:ascii="宋体" w:hAnsi="宋体" w:eastAsia="宋体" w:cs="宋体"/>
                <w:sz w:val="21"/>
                <w:szCs w:val="21"/>
              </w:rPr>
              <w:t>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1"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C</w:t>
            </w:r>
          </w:p>
        </w:tc>
        <w:tc>
          <w:tcPr>
            <w:tcW w:w="4366"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50%联肼·乙螨唑悬浮剂</w:t>
            </w:r>
          </w:p>
        </w:tc>
        <w:tc>
          <w:tcPr>
            <w:tcW w:w="3001" w:type="dxa"/>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rPr>
              <w:t>7500</w:t>
            </w:r>
            <w:r>
              <w:rPr>
                <w:rFonts w:hint="eastAsia" w:ascii="宋体" w:hAnsi="宋体" w:eastAsia="宋体" w:cs="宋体"/>
                <w:sz w:val="21"/>
                <w:szCs w:val="21"/>
              </w:rPr>
              <w:t>倍液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31" w:type="dxa"/>
            <w:tcBorders>
              <w:top w:val="nil"/>
              <w:left w:val="nil"/>
              <w:bottom w:val="single" w:color="000000" w:sz="12"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CK</w:t>
            </w:r>
          </w:p>
        </w:tc>
        <w:tc>
          <w:tcPr>
            <w:tcW w:w="4366" w:type="dxa"/>
            <w:tcBorders>
              <w:top w:val="nil"/>
              <w:left w:val="nil"/>
              <w:bottom w:val="single" w:color="000000" w:sz="12"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清水</w:t>
            </w:r>
          </w:p>
        </w:tc>
        <w:tc>
          <w:tcPr>
            <w:tcW w:w="3001" w:type="dxa"/>
            <w:tcBorders>
              <w:top w:val="nil"/>
              <w:left w:val="nil"/>
              <w:bottom w:val="single" w:color="000000" w:sz="12" w:space="0"/>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z w:val="21"/>
                <w:szCs w:val="21"/>
              </w:rPr>
            </w:pPr>
          </w:p>
        </w:tc>
      </w:tr>
    </w:tbl>
    <w:p>
      <w:pPr>
        <w:pStyle w:val="16"/>
        <w:ind w:firstLine="643"/>
        <w:rPr>
          <w:rFonts w:hint="eastAsia" w:ascii="宋体" w:hAnsi="宋体" w:eastAsia="宋体" w:cs="宋体"/>
          <w:b w:val="0"/>
          <w:bCs w:val="0"/>
          <w:color w:val="auto"/>
          <w:sz w:val="28"/>
          <w:szCs w:val="28"/>
          <w:vertAlign w:val="baseline"/>
          <w:lang w:val="en-US" w:eastAsia="zh-CN"/>
        </w:rPr>
      </w:pPr>
      <w:r>
        <w:rPr>
          <w:rFonts w:hint="eastAsia" w:ascii="Times New Roman" w:hAnsi="Times New Roman" w:eastAsia="仿宋_GB2312" w:cs="Times New Roman"/>
          <w:b w:val="0"/>
          <w:bCs/>
          <w:color w:val="000000"/>
          <w:sz w:val="32"/>
          <w:szCs w:val="32"/>
          <w:lang w:val="en-US" w:eastAsia="zh-CN"/>
        </w:rPr>
        <w:t>施药7天后，防效最高的为处理A（30%乙唑螨腈悬浮剂）为90.04%；施药14天后，防效最高的为处理A（30%乙唑螨腈悬浮剂）为90.85%（表10）。</w:t>
      </w:r>
    </w:p>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bCs/>
          <w:snapToGrid w:val="0"/>
          <w:kern w:val="0"/>
          <w:sz w:val="21"/>
          <w:szCs w:val="21"/>
          <w:lang w:val="en-US" w:eastAsia="zh-CN" w:bidi="ar-SA"/>
        </w:rPr>
        <w:t>表10 大豆田叶螨田间防效调查表</w:t>
      </w:r>
    </w:p>
    <w:tbl>
      <w:tblPr>
        <w:tblStyle w:val="10"/>
        <w:tblW w:w="88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02"/>
        <w:gridCol w:w="1519"/>
        <w:gridCol w:w="1226"/>
        <w:gridCol w:w="1027"/>
        <w:gridCol w:w="1174"/>
        <w:gridCol w:w="1175"/>
        <w:gridCol w:w="1026"/>
        <w:gridCol w:w="10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02" w:type="dxa"/>
            <w:vMerge w:val="restart"/>
            <w:tcBorders>
              <w:top w:val="single" w:color="auto" w:sz="12" w:space="0"/>
              <w:left w:val="nil"/>
              <w:bottom w:val="single" w:color="auto" w:sz="4" w:space="0"/>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供试</w:t>
            </w:r>
          </w:p>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药剂</w:t>
            </w:r>
          </w:p>
        </w:tc>
        <w:tc>
          <w:tcPr>
            <w:tcW w:w="1519" w:type="dxa"/>
            <w:vMerge w:val="restart"/>
            <w:tcBorders>
              <w:top w:val="single" w:color="auto" w:sz="12" w:space="0"/>
              <w:left w:val="nil"/>
              <w:bottom w:val="single" w:color="auto" w:sz="4" w:space="0"/>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药前虫口数/头</w:t>
            </w:r>
          </w:p>
        </w:tc>
        <w:tc>
          <w:tcPr>
            <w:tcW w:w="2253" w:type="dxa"/>
            <w:gridSpan w:val="2"/>
            <w:tcBorders>
              <w:top w:val="single" w:color="auto" w:sz="12" w:space="0"/>
              <w:left w:val="nil"/>
              <w:bottom w:val="single" w:color="auto" w:sz="4" w:space="0"/>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药后虫口数</w:t>
            </w:r>
          </w:p>
        </w:tc>
        <w:tc>
          <w:tcPr>
            <w:tcW w:w="2349" w:type="dxa"/>
            <w:gridSpan w:val="2"/>
            <w:tcBorders>
              <w:top w:val="single" w:color="auto" w:sz="12"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虫口减退率%</w:t>
            </w:r>
          </w:p>
        </w:tc>
        <w:tc>
          <w:tcPr>
            <w:tcW w:w="2054" w:type="dxa"/>
            <w:gridSpan w:val="2"/>
            <w:tcBorders>
              <w:top w:val="single" w:color="auto" w:sz="12"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防治效果%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02" w:type="dxa"/>
            <w:vMerge w:val="continue"/>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snapToGrid/>
              <w:ind w:left="-53" w:leftChars="-25" w:right="-53" w:rightChars="-25"/>
              <w:jc w:val="center"/>
              <w:rPr>
                <w:rFonts w:hint="eastAsia" w:ascii="宋体" w:hAnsi="宋体" w:eastAsia="宋体" w:cs="宋体"/>
                <w:i w:val="0"/>
                <w:iCs w:val="0"/>
                <w:color w:val="000000"/>
                <w:sz w:val="21"/>
                <w:szCs w:val="21"/>
                <w:u w:val="none"/>
              </w:rPr>
            </w:pPr>
          </w:p>
        </w:tc>
        <w:tc>
          <w:tcPr>
            <w:tcW w:w="1519" w:type="dxa"/>
            <w:vMerge w:val="continue"/>
            <w:tcBorders>
              <w:top w:val="single" w:color="auto" w:sz="4" w:space="0"/>
              <w:left w:val="nil"/>
              <w:bottom w:val="single" w:color="auto" w:sz="4" w:space="0"/>
              <w:right w:val="nil"/>
            </w:tcBorders>
            <w:noWrap w:val="0"/>
            <w:vAlign w:val="center"/>
          </w:tcPr>
          <w:p>
            <w:pPr>
              <w:keepNext w:val="0"/>
              <w:keepLines w:val="0"/>
              <w:pageBreakBefore w:val="0"/>
              <w:kinsoku/>
              <w:wordWrap/>
              <w:overflowPunct/>
              <w:topLinePunct w:val="0"/>
              <w:autoSpaceDE/>
              <w:autoSpaceDN/>
              <w:bidi w:val="0"/>
              <w:adjustRightInd/>
              <w:snapToGrid/>
              <w:ind w:left="-53" w:leftChars="-25" w:right="-53" w:rightChars="-25"/>
              <w:jc w:val="center"/>
              <w:rPr>
                <w:rFonts w:hint="eastAsia" w:ascii="宋体" w:hAnsi="宋体" w:eastAsia="宋体" w:cs="宋体"/>
                <w:i w:val="0"/>
                <w:iCs w:val="0"/>
                <w:color w:val="000000"/>
                <w:sz w:val="21"/>
                <w:szCs w:val="21"/>
                <w:u w:val="none"/>
              </w:rPr>
            </w:pPr>
          </w:p>
        </w:tc>
        <w:tc>
          <w:tcPr>
            <w:tcW w:w="1226" w:type="dxa"/>
            <w:tcBorders>
              <w:top w:val="single" w:color="auto" w:sz="4"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7d</w:t>
            </w:r>
          </w:p>
        </w:tc>
        <w:tc>
          <w:tcPr>
            <w:tcW w:w="1027" w:type="dxa"/>
            <w:tcBorders>
              <w:top w:val="single" w:color="auto" w:sz="4"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14d</w:t>
            </w:r>
          </w:p>
        </w:tc>
        <w:tc>
          <w:tcPr>
            <w:tcW w:w="1174" w:type="dxa"/>
            <w:tcBorders>
              <w:top w:val="single" w:color="auto" w:sz="4"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7d</w:t>
            </w:r>
          </w:p>
        </w:tc>
        <w:tc>
          <w:tcPr>
            <w:tcW w:w="1175" w:type="dxa"/>
            <w:tcBorders>
              <w:top w:val="single" w:color="auto" w:sz="4"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14d</w:t>
            </w:r>
          </w:p>
        </w:tc>
        <w:tc>
          <w:tcPr>
            <w:tcW w:w="1026" w:type="dxa"/>
            <w:tcBorders>
              <w:top w:val="single" w:color="auto" w:sz="4"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7d</w:t>
            </w:r>
          </w:p>
        </w:tc>
        <w:tc>
          <w:tcPr>
            <w:tcW w:w="1028" w:type="dxa"/>
            <w:tcBorders>
              <w:top w:val="single" w:color="auto" w:sz="4" w:space="0"/>
              <w:left w:val="nil"/>
              <w:bottom w:val="single" w:color="auto" w:sz="4"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02" w:type="dxa"/>
            <w:tcBorders>
              <w:top w:val="single" w:color="auto" w:sz="4" w:space="0"/>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1519" w:type="dxa"/>
            <w:tcBorders>
              <w:top w:val="single" w:color="auto" w:sz="4" w:space="0"/>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 xml:space="preserve">61.3 </w:t>
            </w:r>
          </w:p>
        </w:tc>
        <w:tc>
          <w:tcPr>
            <w:tcW w:w="1226" w:type="dxa"/>
            <w:tcBorders>
              <w:top w:val="single" w:color="auto" w:sz="4" w:space="0"/>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6.3</w:t>
            </w:r>
          </w:p>
        </w:tc>
        <w:tc>
          <w:tcPr>
            <w:tcW w:w="1027" w:type="dxa"/>
            <w:tcBorders>
              <w:top w:val="single" w:color="auto" w:sz="4" w:space="0"/>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5.7 </w:t>
            </w:r>
          </w:p>
        </w:tc>
        <w:tc>
          <w:tcPr>
            <w:tcW w:w="1174" w:type="dxa"/>
            <w:tcBorders>
              <w:top w:val="single" w:color="auto" w:sz="4" w:space="0"/>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89.72 </w:t>
            </w:r>
          </w:p>
        </w:tc>
        <w:tc>
          <w:tcPr>
            <w:tcW w:w="1175" w:type="dxa"/>
            <w:tcBorders>
              <w:top w:val="single" w:color="auto" w:sz="4" w:space="0"/>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90.7</w:t>
            </w:r>
          </w:p>
        </w:tc>
        <w:tc>
          <w:tcPr>
            <w:tcW w:w="1026" w:type="dxa"/>
            <w:tcBorders>
              <w:top w:val="single" w:color="auto" w:sz="4" w:space="0"/>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90.04</w:t>
            </w:r>
          </w:p>
        </w:tc>
        <w:tc>
          <w:tcPr>
            <w:tcW w:w="1028" w:type="dxa"/>
            <w:tcBorders>
              <w:top w:val="single" w:color="auto" w:sz="4" w:space="0"/>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90.85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02" w:type="dxa"/>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519"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59.3</w:t>
            </w:r>
          </w:p>
        </w:tc>
        <w:tc>
          <w:tcPr>
            <w:tcW w:w="1226"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6.3</w:t>
            </w:r>
          </w:p>
        </w:tc>
        <w:tc>
          <w:tcPr>
            <w:tcW w:w="1027"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 </w:t>
            </w:r>
          </w:p>
        </w:tc>
        <w:tc>
          <w:tcPr>
            <w:tcW w:w="1174"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89.38 </w:t>
            </w:r>
          </w:p>
        </w:tc>
        <w:tc>
          <w:tcPr>
            <w:tcW w:w="1175"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 xml:space="preserve">88.2 </w:t>
            </w:r>
          </w:p>
        </w:tc>
        <w:tc>
          <w:tcPr>
            <w:tcW w:w="1026"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89.71</w:t>
            </w:r>
          </w:p>
        </w:tc>
        <w:tc>
          <w:tcPr>
            <w:tcW w:w="1028"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88.39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02" w:type="dxa"/>
            <w:tcBorders>
              <w:top w:val="nil"/>
              <w:left w:val="nil"/>
              <w:bottom w:val="nil"/>
              <w:right w:val="nil"/>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519"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58.3 </w:t>
            </w:r>
          </w:p>
        </w:tc>
        <w:tc>
          <w:tcPr>
            <w:tcW w:w="1226"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6.8 </w:t>
            </w:r>
          </w:p>
        </w:tc>
        <w:tc>
          <w:tcPr>
            <w:tcW w:w="1027"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7.4 </w:t>
            </w:r>
          </w:p>
        </w:tc>
        <w:tc>
          <w:tcPr>
            <w:tcW w:w="1174"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88.34 </w:t>
            </w:r>
          </w:p>
        </w:tc>
        <w:tc>
          <w:tcPr>
            <w:tcW w:w="1175"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87.31 </w:t>
            </w:r>
          </w:p>
        </w:tc>
        <w:tc>
          <w:tcPr>
            <w:tcW w:w="1026"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88.7 </w:t>
            </w:r>
          </w:p>
        </w:tc>
        <w:tc>
          <w:tcPr>
            <w:tcW w:w="1028" w:type="dxa"/>
            <w:tcBorders>
              <w:top w:val="nil"/>
              <w:left w:val="nil"/>
              <w:bottom w:val="nil"/>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auto"/>
                <w:kern w:val="0"/>
                <w:sz w:val="21"/>
                <w:szCs w:val="21"/>
                <w:u w:val="none"/>
                <w:lang w:val="en-US" w:eastAsia="zh-CN" w:bidi="ar"/>
              </w:rPr>
              <w:t>87.51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jc w:val="center"/>
        </w:trPr>
        <w:tc>
          <w:tcPr>
            <w:tcW w:w="702" w:type="dxa"/>
            <w:tcBorders>
              <w:top w:val="nil"/>
              <w:left w:val="nil"/>
              <w:bottom w:val="single" w:color="000000" w:sz="12"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CK</w:t>
            </w:r>
          </w:p>
        </w:tc>
        <w:tc>
          <w:tcPr>
            <w:tcW w:w="1519" w:type="dxa"/>
            <w:tcBorders>
              <w:top w:val="nil"/>
              <w:left w:val="nil"/>
              <w:bottom w:val="single" w:color="000000" w:sz="12"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188 </w:t>
            </w:r>
          </w:p>
        </w:tc>
        <w:tc>
          <w:tcPr>
            <w:tcW w:w="1226" w:type="dxa"/>
            <w:tcBorders>
              <w:top w:val="nil"/>
              <w:left w:val="nil"/>
              <w:bottom w:val="single" w:color="000000" w:sz="12"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194</w:t>
            </w:r>
          </w:p>
        </w:tc>
        <w:tc>
          <w:tcPr>
            <w:tcW w:w="1027" w:type="dxa"/>
            <w:tcBorders>
              <w:top w:val="nil"/>
              <w:left w:val="nil"/>
              <w:bottom w:val="single" w:color="000000" w:sz="12"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191</w:t>
            </w:r>
          </w:p>
        </w:tc>
        <w:tc>
          <w:tcPr>
            <w:tcW w:w="1174" w:type="dxa"/>
            <w:tcBorders>
              <w:top w:val="nil"/>
              <w:left w:val="nil"/>
              <w:bottom w:val="single" w:color="000000" w:sz="12"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-3.2 </w:t>
            </w:r>
          </w:p>
        </w:tc>
        <w:tc>
          <w:tcPr>
            <w:tcW w:w="1175" w:type="dxa"/>
            <w:tcBorders>
              <w:top w:val="nil"/>
              <w:left w:val="nil"/>
              <w:bottom w:val="single" w:color="000000" w:sz="12" w:space="0"/>
              <w:right w:val="nil"/>
            </w:tcBorders>
            <w:noWrap/>
            <w:vAlign w:val="center"/>
          </w:tcPr>
          <w:p>
            <w:pPr>
              <w:keepNext w:val="0"/>
              <w:keepLines w:val="0"/>
              <w:pageBreakBefore w:val="0"/>
              <w:widowControl/>
              <w:suppressLineNumbers w:val="0"/>
              <w:kinsoku/>
              <w:wordWrap/>
              <w:overflowPunct/>
              <w:topLinePunct w:val="0"/>
              <w:autoSpaceDE/>
              <w:autoSpaceDN/>
              <w:bidi w:val="0"/>
              <w:adjustRightInd/>
              <w:snapToGrid/>
              <w:ind w:left="-53" w:leftChars="-25" w:right="-53" w:rightChars="-25"/>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 xml:space="preserve">-1.6 </w:t>
            </w:r>
          </w:p>
        </w:tc>
        <w:tc>
          <w:tcPr>
            <w:tcW w:w="1026" w:type="dxa"/>
            <w:tcBorders>
              <w:top w:val="nil"/>
              <w:left w:val="nil"/>
              <w:bottom w:val="single" w:color="000000" w:sz="12" w:space="0"/>
              <w:right w:val="nil"/>
            </w:tcBorders>
            <w:noWrap/>
            <w:vAlign w:val="center"/>
          </w:tcPr>
          <w:p>
            <w:pPr>
              <w:keepNext w:val="0"/>
              <w:keepLines w:val="0"/>
              <w:pageBreakBefore w:val="0"/>
              <w:kinsoku/>
              <w:wordWrap/>
              <w:overflowPunct/>
              <w:topLinePunct w:val="0"/>
              <w:autoSpaceDE/>
              <w:autoSpaceDN/>
              <w:bidi w:val="0"/>
              <w:adjustRightInd/>
              <w:snapToGrid/>
              <w:ind w:left="-53" w:leftChars="-25" w:right="-53" w:rightChars="-25"/>
              <w:jc w:val="center"/>
              <w:rPr>
                <w:rFonts w:hint="eastAsia" w:ascii="宋体" w:hAnsi="宋体" w:eastAsia="宋体" w:cs="宋体"/>
                <w:i w:val="0"/>
                <w:iCs w:val="0"/>
                <w:color w:val="auto"/>
                <w:sz w:val="21"/>
                <w:szCs w:val="21"/>
                <w:u w:val="none"/>
              </w:rPr>
            </w:pPr>
          </w:p>
        </w:tc>
        <w:tc>
          <w:tcPr>
            <w:tcW w:w="1028" w:type="dxa"/>
            <w:tcBorders>
              <w:top w:val="nil"/>
              <w:left w:val="nil"/>
              <w:bottom w:val="single" w:color="000000" w:sz="12" w:space="0"/>
              <w:right w:val="nil"/>
            </w:tcBorders>
            <w:noWrap/>
            <w:vAlign w:val="center"/>
          </w:tcPr>
          <w:p>
            <w:pPr>
              <w:keepNext w:val="0"/>
              <w:keepLines w:val="0"/>
              <w:pageBreakBefore w:val="0"/>
              <w:kinsoku/>
              <w:wordWrap/>
              <w:overflowPunct/>
              <w:topLinePunct w:val="0"/>
              <w:autoSpaceDE/>
              <w:autoSpaceDN/>
              <w:bidi w:val="0"/>
              <w:adjustRightInd/>
              <w:snapToGrid/>
              <w:ind w:left="-53" w:leftChars="-25" w:right="-53" w:rightChars="-25"/>
              <w:jc w:val="center"/>
              <w:rPr>
                <w:rFonts w:hint="eastAsia" w:ascii="宋体" w:hAnsi="宋体" w:eastAsia="宋体" w:cs="宋体"/>
                <w:i w:val="0"/>
                <w:iCs w:val="0"/>
                <w:color w:val="auto"/>
                <w:sz w:val="21"/>
                <w:szCs w:val="21"/>
                <w:u w:val="none"/>
              </w:rPr>
            </w:pPr>
          </w:p>
        </w:tc>
      </w:tr>
    </w:tbl>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宋体" w:hAnsi="宋体" w:eastAsia="宋体" w:cs="宋体"/>
          <w:b w:val="0"/>
          <w:bCs w:val="0"/>
          <w:sz w:val="28"/>
          <w:szCs w:val="28"/>
          <w:lang w:val="en-US" w:eastAsia="zh-CN"/>
        </w:rPr>
      </w:pPr>
      <w:r>
        <w:rPr>
          <w:rFonts w:hint="eastAsia" w:ascii="Times New Roman" w:hAnsi="Times New Roman" w:eastAsia="仿宋_GB2312" w:cs="Times New Roman"/>
          <w:b w:val="0"/>
          <w:bCs/>
          <w:color w:val="000000"/>
          <w:sz w:val="32"/>
          <w:szCs w:val="32"/>
          <w:lang w:val="en-US" w:eastAsia="zh-CN"/>
        </w:rPr>
        <w:t>3个处理中玉米产量最高的为处理A（30%乙唑螨腈悬浮剂）121.3kg/667㎡，增产率为8.3%。</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宋体" w:hAnsi="宋体" w:eastAsia="宋体" w:cs="宋体"/>
          <w:b w:val="0"/>
          <w:bCs w:val="0"/>
          <w:sz w:val="28"/>
          <w:szCs w:val="28"/>
          <w:lang w:val="en-US" w:eastAsia="zh-CN"/>
        </w:rPr>
      </w:pPr>
      <w:r>
        <w:rPr>
          <w:rFonts w:hint="eastAsia" w:ascii="Times New Roman" w:hAnsi="Times New Roman" w:eastAsia="仿宋_GB2312" w:cs="Times New Roman"/>
          <w:b/>
          <w:bCs/>
          <w:sz w:val="32"/>
          <w:szCs w:val="32"/>
          <w:lang w:val="en-US" w:eastAsia="zh-CN"/>
        </w:rPr>
        <w:t>2.3大豆田鳞翅目害虫防效试验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bCs/>
          <w:color w:val="000000"/>
          <w:kern w:val="2"/>
          <w:sz w:val="32"/>
          <w:szCs w:val="32"/>
          <w:lang w:val="en-US" w:eastAsia="zh-CN" w:bidi="ar-SA"/>
        </w:rPr>
      </w:pPr>
      <w:r>
        <w:rPr>
          <w:rFonts w:hint="eastAsia" w:ascii="Times New Roman" w:hAnsi="Times New Roman" w:eastAsia="仿宋_GB2312" w:cs="Times New Roman"/>
          <w:b w:val="0"/>
          <w:bCs/>
          <w:color w:val="000000"/>
          <w:sz w:val="32"/>
          <w:szCs w:val="32"/>
          <w:lang w:val="en-US" w:eastAsia="zh-CN"/>
        </w:rPr>
        <w:t>2023-2024年，组织开展大豆田鳞翅目害虫防效试验。</w:t>
      </w:r>
      <w:r>
        <w:rPr>
          <w:rFonts w:hint="eastAsia" w:ascii="Times New Roman" w:hAnsi="Times New Roman" w:eastAsia="仿宋_GB2312" w:cs="Times New Roman"/>
          <w:b w:val="0"/>
          <w:bCs/>
          <w:color w:val="000000"/>
          <w:kern w:val="2"/>
          <w:sz w:val="32"/>
          <w:szCs w:val="32"/>
          <w:lang w:val="en-US" w:eastAsia="zh-CN" w:bidi="ar-SA"/>
        </w:rPr>
        <w:t xml:space="preserve">试验共设6个处理，采取小区对比试验，每个处理小区面积为100㎡左右，随机排列。处理A、B、C、D、E及CK，每个处理3次重复，每亩兑水30公斤喷雾，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bCs/>
          <w:color w:val="000000"/>
          <w:kern w:val="2"/>
          <w:sz w:val="32"/>
          <w:szCs w:val="32"/>
          <w:lang w:val="en-US" w:eastAsia="zh-CN" w:bidi="ar-SA"/>
        </w:rPr>
      </w:pPr>
      <w:r>
        <w:rPr>
          <w:rFonts w:hint="eastAsia" w:ascii="Times New Roman" w:hAnsi="Times New Roman" w:eastAsia="仿宋_GB2312" w:cs="Times New Roman"/>
          <w:b w:val="0"/>
          <w:bCs/>
          <w:color w:val="000000"/>
          <w:kern w:val="2"/>
          <w:sz w:val="32"/>
          <w:szCs w:val="32"/>
          <w:lang w:val="en-US" w:eastAsia="zh-CN" w:bidi="ar-SA"/>
        </w:rPr>
        <w:t>处理A：32000 IU/mL 苏云金杆菌可湿性粉剂150 g/亩；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bCs/>
          <w:color w:val="000000"/>
          <w:kern w:val="2"/>
          <w:sz w:val="32"/>
          <w:szCs w:val="32"/>
          <w:lang w:val="en-US" w:eastAsia="zh-CN" w:bidi="ar-SA"/>
        </w:rPr>
      </w:pPr>
      <w:r>
        <w:rPr>
          <w:rFonts w:hint="eastAsia" w:ascii="Times New Roman" w:hAnsi="Times New Roman" w:eastAsia="仿宋_GB2312" w:cs="Times New Roman"/>
          <w:b w:val="0"/>
          <w:bCs/>
          <w:color w:val="000000"/>
          <w:kern w:val="2"/>
          <w:sz w:val="32"/>
          <w:szCs w:val="32"/>
          <w:lang w:val="en-US" w:eastAsia="zh-CN" w:bidi="ar-SA"/>
        </w:rPr>
        <w:t>处理B：5%氯虫苯甲酰胺悬浮剂50g/亩；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bCs/>
          <w:color w:val="000000"/>
          <w:kern w:val="2"/>
          <w:sz w:val="32"/>
          <w:szCs w:val="32"/>
          <w:lang w:val="en-US" w:eastAsia="zh-CN" w:bidi="ar-SA"/>
        </w:rPr>
      </w:pPr>
      <w:r>
        <w:rPr>
          <w:rFonts w:hint="eastAsia" w:ascii="Times New Roman" w:hAnsi="Times New Roman" w:eastAsia="仿宋_GB2312" w:cs="Times New Roman"/>
          <w:b w:val="0"/>
          <w:bCs/>
          <w:color w:val="000000"/>
          <w:kern w:val="2"/>
          <w:sz w:val="32"/>
          <w:szCs w:val="32"/>
          <w:lang w:val="en-US" w:eastAsia="zh-CN" w:bidi="ar-SA"/>
        </w:rPr>
        <w:t>处理C：14%氯虫·高氯氟悬浮剂20 ml /亩；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bCs/>
          <w:color w:val="000000"/>
          <w:kern w:val="2"/>
          <w:sz w:val="32"/>
          <w:szCs w:val="32"/>
          <w:lang w:val="en-US" w:eastAsia="zh-CN" w:bidi="ar-SA"/>
        </w:rPr>
      </w:pPr>
      <w:r>
        <w:rPr>
          <w:rFonts w:hint="eastAsia" w:ascii="Times New Roman" w:hAnsi="Times New Roman" w:eastAsia="仿宋_GB2312" w:cs="Times New Roman"/>
          <w:b w:val="0"/>
          <w:bCs/>
          <w:color w:val="000000"/>
          <w:kern w:val="2"/>
          <w:sz w:val="32"/>
          <w:szCs w:val="32"/>
          <w:lang w:val="en-US" w:eastAsia="zh-CN" w:bidi="ar-SA"/>
        </w:rPr>
        <w:t>处理D：3.8%高氯·甲维盐乳油65ml/亩；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b w:val="0"/>
          <w:bCs/>
          <w:color w:val="000000"/>
          <w:kern w:val="2"/>
          <w:sz w:val="32"/>
          <w:szCs w:val="32"/>
          <w:lang w:val="en-US" w:eastAsia="zh-CN" w:bidi="ar-SA"/>
        </w:rPr>
      </w:pPr>
      <w:r>
        <w:rPr>
          <w:rFonts w:hint="eastAsia" w:ascii="Times New Roman" w:hAnsi="Times New Roman" w:eastAsia="仿宋_GB2312" w:cs="Times New Roman"/>
          <w:b w:val="0"/>
          <w:bCs/>
          <w:color w:val="000000"/>
          <w:kern w:val="2"/>
          <w:sz w:val="32"/>
          <w:szCs w:val="32"/>
          <w:lang w:val="en-US" w:eastAsia="zh-CN" w:bidi="ar-SA"/>
        </w:rPr>
        <w:t>处理E：10%甲维·茚虫威悬浮剂30ml/亩</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Times New Roman" w:hAnsi="Times New Roman" w:eastAsia="仿宋_GB2312" w:cs="Times New Roman"/>
          <w:b w:val="0"/>
          <w:bCs/>
          <w:color w:val="000000"/>
          <w:kern w:val="2"/>
          <w:sz w:val="32"/>
          <w:szCs w:val="32"/>
          <w:lang w:val="en-US" w:eastAsia="zh-CN" w:bidi="ar-SA"/>
        </w:rPr>
      </w:pPr>
      <w:r>
        <w:rPr>
          <w:rFonts w:hint="eastAsia" w:ascii="Times New Roman" w:hAnsi="Times New Roman" w:eastAsia="仿宋_GB2312" w:cs="Times New Roman"/>
          <w:b w:val="0"/>
          <w:bCs/>
          <w:color w:val="000000"/>
          <w:kern w:val="2"/>
          <w:sz w:val="32"/>
          <w:szCs w:val="32"/>
          <w:lang w:val="en-US" w:eastAsia="zh-CN" w:bidi="ar-SA"/>
        </w:rPr>
        <w:t>处理CK：空白对照。</w:t>
      </w:r>
    </w:p>
    <w:p>
      <w:pPr>
        <w:pStyle w:val="16"/>
        <w:keepNext w:val="0"/>
        <w:keepLines w:val="0"/>
        <w:pageBreakBefore w:val="0"/>
        <w:widowControl w:val="0"/>
        <w:kinsoku/>
        <w:wordWrap/>
        <w:overflowPunct/>
        <w:topLinePunct w:val="0"/>
        <w:autoSpaceDE/>
        <w:autoSpaceDN/>
        <w:bidi w:val="0"/>
        <w:adjustRightInd/>
        <w:snapToGrid/>
        <w:spacing w:line="560" w:lineRule="exact"/>
        <w:ind w:firstLine="643"/>
        <w:textAlignment w:val="auto"/>
        <w:rPr>
          <w:rFonts w:hint="eastAsia" w:ascii="宋体" w:hAnsi="宋体" w:eastAsia="宋体" w:cs="宋体"/>
          <w:sz w:val="28"/>
          <w:szCs w:val="28"/>
        </w:rPr>
        <w:sectPr>
          <w:footerReference r:id="rId4" w:type="default"/>
          <w:pgSz w:w="11906" w:h="16838"/>
          <w:pgMar w:top="1984" w:right="1587" w:bottom="1701" w:left="1587" w:header="851" w:footer="992" w:gutter="0"/>
          <w:pgBorders>
            <w:top w:val="none" w:sz="0" w:space="0"/>
            <w:left w:val="none" w:sz="0" w:space="0"/>
            <w:bottom w:val="none" w:sz="0" w:space="0"/>
            <w:right w:val="none" w:sz="0" w:space="0"/>
          </w:pgBorders>
          <w:pgNumType w:fmt="numberInDash" w:start="1"/>
          <w:cols w:space="0" w:num="1"/>
          <w:rtlGutter w:val="0"/>
          <w:docGrid w:type="lines" w:linePitch="312" w:charSpace="0"/>
        </w:sectPr>
      </w:pPr>
      <w:r>
        <w:rPr>
          <w:rFonts w:hint="eastAsia" w:ascii="Times New Roman" w:hAnsi="Times New Roman" w:eastAsia="仿宋_GB2312" w:cs="Times New Roman"/>
          <w:b w:val="0"/>
          <w:bCs/>
          <w:color w:val="000000"/>
          <w:kern w:val="2"/>
          <w:sz w:val="32"/>
          <w:szCs w:val="32"/>
          <w:lang w:val="en-US" w:eastAsia="zh-CN" w:bidi="ar-SA"/>
        </w:rPr>
        <w:t>试验结果：综合5个处理防效和对产量的影响（表10、表11），推荐推荐处理B （5%氯虫苯甲酰胺悬浮剂50g/亩）、处理E（10%甲维·茚虫威悬浮剂30ml/亩）用于玉豆田鳞翅目害虫初期喷施防控（表11、表12）。</w:t>
      </w:r>
    </w:p>
    <w:p>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 xml:space="preserve">表11 </w:t>
      </w:r>
      <w:r>
        <w:rPr>
          <w:rFonts w:hint="eastAsia" w:ascii="宋体" w:hAnsi="宋体" w:eastAsia="宋体" w:cs="宋体"/>
          <w:b/>
          <w:bCs/>
          <w:snapToGrid w:val="0"/>
          <w:kern w:val="0"/>
          <w:sz w:val="24"/>
          <w:szCs w:val="24"/>
          <w:lang w:val="en-US" w:eastAsia="zh-CN"/>
        </w:rPr>
        <w:t>不同药剂防治鳞翅目害虫</w:t>
      </w:r>
      <w:r>
        <w:rPr>
          <w:rFonts w:hint="eastAsia" w:ascii="宋体" w:hAnsi="宋体" w:eastAsia="宋体" w:cs="宋体"/>
          <w:b/>
          <w:bCs/>
          <w:i w:val="0"/>
          <w:iCs w:val="0"/>
          <w:color w:val="000000"/>
          <w:kern w:val="0"/>
          <w:sz w:val="24"/>
          <w:szCs w:val="24"/>
          <w:u w:val="none"/>
          <w:lang w:val="en-US" w:eastAsia="zh-CN" w:bidi="ar"/>
        </w:rPr>
        <w:t>防效</w:t>
      </w:r>
    </w:p>
    <w:p>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单位：个、%</w:t>
      </w:r>
    </w:p>
    <w:tbl>
      <w:tblPr>
        <w:tblStyle w:val="10"/>
        <w:tblW w:w="13918" w:type="dxa"/>
        <w:jc w:val="center"/>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Layout w:type="fixed"/>
        <w:tblCellMar>
          <w:top w:w="0" w:type="dxa"/>
          <w:left w:w="108" w:type="dxa"/>
          <w:bottom w:w="0" w:type="dxa"/>
          <w:right w:w="108" w:type="dxa"/>
        </w:tblCellMar>
      </w:tblPr>
      <w:tblGrid>
        <w:gridCol w:w="1103"/>
        <w:gridCol w:w="783"/>
        <w:gridCol w:w="817"/>
        <w:gridCol w:w="780"/>
        <w:gridCol w:w="1205"/>
        <w:gridCol w:w="550"/>
        <w:gridCol w:w="847"/>
        <w:gridCol w:w="657"/>
        <w:gridCol w:w="836"/>
        <w:gridCol w:w="873"/>
        <w:gridCol w:w="833"/>
        <w:gridCol w:w="698"/>
        <w:gridCol w:w="870"/>
        <w:gridCol w:w="632"/>
        <w:gridCol w:w="817"/>
        <w:gridCol w:w="681"/>
        <w:gridCol w:w="936"/>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103" w:type="dxa"/>
            <w:tcBorders>
              <w:top w:val="single" w:color="000000" w:sz="12" w:space="0"/>
              <w:left w:val="nil"/>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sz w:val="21"/>
                <w:szCs w:val="21"/>
                <w:u w:val="none"/>
                <w:lang w:val="en-US" w:eastAsia="zh-CN"/>
              </w:rPr>
              <w:t>调查时间</w:t>
            </w:r>
          </w:p>
        </w:tc>
        <w:tc>
          <w:tcPr>
            <w:tcW w:w="3585" w:type="dxa"/>
            <w:gridSpan w:val="4"/>
            <w:tcBorders>
              <w:top w:val="single" w:color="000000" w:sz="12" w:space="0"/>
              <w:left w:val="nil"/>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药后3d</w:t>
            </w:r>
          </w:p>
        </w:tc>
        <w:tc>
          <w:tcPr>
            <w:tcW w:w="2890" w:type="dxa"/>
            <w:gridSpan w:val="4"/>
            <w:tcBorders>
              <w:top w:val="single" w:color="000000" w:sz="12" w:space="0"/>
              <w:left w:val="nil"/>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药后7d</w:t>
            </w:r>
          </w:p>
        </w:tc>
        <w:tc>
          <w:tcPr>
            <w:tcW w:w="3274" w:type="dxa"/>
            <w:gridSpan w:val="4"/>
            <w:tcBorders>
              <w:top w:val="single" w:color="000000" w:sz="12" w:space="0"/>
              <w:left w:val="nil"/>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药后14d</w:t>
            </w:r>
          </w:p>
        </w:tc>
        <w:tc>
          <w:tcPr>
            <w:tcW w:w="3066" w:type="dxa"/>
            <w:gridSpan w:val="4"/>
            <w:tcBorders>
              <w:top w:val="single" w:color="000000" w:sz="12" w:space="0"/>
              <w:left w:val="nil"/>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药后21d</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103" w:type="dxa"/>
            <w:tcBorders>
              <w:top w:val="single" w:color="000000" w:sz="4" w:space="0"/>
              <w:tl2br w:val="nil"/>
              <w:tr2bl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sz w:val="21"/>
                <w:szCs w:val="21"/>
                <w:u w:val="none"/>
                <w:lang w:val="en-US" w:eastAsia="zh-CN"/>
              </w:rPr>
              <w:t>害虫种类</w:t>
            </w:r>
          </w:p>
        </w:tc>
        <w:tc>
          <w:tcPr>
            <w:tcW w:w="1600" w:type="dxa"/>
            <w:gridSpan w:val="2"/>
            <w:tcBorders>
              <w:top w:val="single" w:color="000000" w:sz="4" w:space="0"/>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棉铃虫</w:t>
            </w:r>
          </w:p>
        </w:tc>
        <w:tc>
          <w:tcPr>
            <w:tcW w:w="1985" w:type="dxa"/>
            <w:gridSpan w:val="2"/>
            <w:tcBorders>
              <w:top w:val="single" w:color="000000" w:sz="4" w:space="0"/>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甜菜夜蛾</w:t>
            </w:r>
          </w:p>
        </w:tc>
        <w:tc>
          <w:tcPr>
            <w:tcW w:w="1397" w:type="dxa"/>
            <w:gridSpan w:val="2"/>
            <w:tcBorders>
              <w:top w:val="single" w:color="000000" w:sz="4" w:space="0"/>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棉铃虫</w:t>
            </w:r>
          </w:p>
        </w:tc>
        <w:tc>
          <w:tcPr>
            <w:tcW w:w="1493" w:type="dxa"/>
            <w:gridSpan w:val="2"/>
            <w:tcBorders>
              <w:top w:val="single" w:color="000000" w:sz="4" w:space="0"/>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甜菜夜蛾</w:t>
            </w:r>
          </w:p>
        </w:tc>
        <w:tc>
          <w:tcPr>
            <w:tcW w:w="1706" w:type="dxa"/>
            <w:gridSpan w:val="2"/>
            <w:tcBorders>
              <w:top w:val="single" w:color="000000" w:sz="4" w:space="0"/>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棉铃虫</w:t>
            </w:r>
          </w:p>
        </w:tc>
        <w:tc>
          <w:tcPr>
            <w:tcW w:w="1568" w:type="dxa"/>
            <w:gridSpan w:val="2"/>
            <w:tcBorders>
              <w:top w:val="single" w:color="000000" w:sz="4" w:space="0"/>
              <w:tl2br w:val="nil"/>
              <w:tr2bl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甜菜夜蛾</w:t>
            </w:r>
          </w:p>
        </w:tc>
        <w:tc>
          <w:tcPr>
            <w:tcW w:w="1449" w:type="dxa"/>
            <w:gridSpan w:val="2"/>
            <w:tcBorders>
              <w:top w:val="single" w:color="000000" w:sz="4" w:space="0"/>
              <w:tl2br w:val="nil"/>
              <w:tr2bl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棉铃虫</w:t>
            </w:r>
          </w:p>
        </w:tc>
        <w:tc>
          <w:tcPr>
            <w:tcW w:w="1617" w:type="dxa"/>
            <w:gridSpan w:val="2"/>
            <w:tcBorders>
              <w:top w:val="single" w:color="000000" w:sz="4" w:space="0"/>
              <w:tl2br w:val="nil"/>
              <w:tr2bl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甜菜夜蛾</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103" w:type="dxa"/>
            <w:tcBorders>
              <w:bottom w:val="single" w:color="000000" w:sz="4" w:space="0"/>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处理</w:t>
            </w:r>
          </w:p>
        </w:tc>
        <w:tc>
          <w:tcPr>
            <w:tcW w:w="783"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817"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c>
          <w:tcPr>
            <w:tcW w:w="780"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1205"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c>
          <w:tcPr>
            <w:tcW w:w="550"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847"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c>
          <w:tcPr>
            <w:tcW w:w="657"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836"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c>
          <w:tcPr>
            <w:tcW w:w="873"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833"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c>
          <w:tcPr>
            <w:tcW w:w="698"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870"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c>
          <w:tcPr>
            <w:tcW w:w="632"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817"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c>
          <w:tcPr>
            <w:tcW w:w="681"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活虫数</w:t>
            </w:r>
          </w:p>
        </w:tc>
        <w:tc>
          <w:tcPr>
            <w:tcW w:w="936" w:type="dxa"/>
            <w:tcBorders>
              <w:bottom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防治</w:t>
            </w:r>
          </w:p>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rPr>
            </w:pPr>
            <w:r>
              <w:rPr>
                <w:rFonts w:hint="eastAsia" w:ascii="宋体" w:hAnsi="宋体" w:eastAsia="宋体" w:cs="宋体"/>
                <w:b w:val="0"/>
                <w:bCs w:val="0"/>
                <w:i w:val="0"/>
                <w:iCs w:val="0"/>
                <w:color w:val="000000"/>
                <w:kern w:val="0"/>
                <w:sz w:val="21"/>
                <w:szCs w:val="21"/>
                <w:u w:val="none"/>
                <w:lang w:val="en-US" w:eastAsia="zh-CN" w:bidi="ar"/>
              </w:rPr>
              <w:t>效果</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103"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A</w:t>
            </w:r>
          </w:p>
        </w:tc>
        <w:tc>
          <w:tcPr>
            <w:tcW w:w="783"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15</w:t>
            </w:r>
          </w:p>
        </w:tc>
        <w:tc>
          <w:tcPr>
            <w:tcW w:w="817"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84</w:t>
            </w:r>
          </w:p>
        </w:tc>
        <w:tc>
          <w:tcPr>
            <w:tcW w:w="780"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7</w:t>
            </w:r>
          </w:p>
        </w:tc>
        <w:tc>
          <w:tcPr>
            <w:tcW w:w="1205"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91.8</w:t>
            </w:r>
          </w:p>
        </w:tc>
        <w:tc>
          <w:tcPr>
            <w:tcW w:w="550"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5</w:t>
            </w:r>
          </w:p>
        </w:tc>
        <w:tc>
          <w:tcPr>
            <w:tcW w:w="847"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93.8</w:t>
            </w:r>
          </w:p>
        </w:tc>
        <w:tc>
          <w:tcPr>
            <w:tcW w:w="657"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836"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88.6</w:t>
            </w:r>
          </w:p>
        </w:tc>
        <w:tc>
          <w:tcPr>
            <w:tcW w:w="873"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833"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96.0 </w:t>
            </w:r>
          </w:p>
        </w:tc>
        <w:tc>
          <w:tcPr>
            <w:tcW w:w="698"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870"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89.2 </w:t>
            </w:r>
          </w:p>
        </w:tc>
        <w:tc>
          <w:tcPr>
            <w:tcW w:w="632"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7</w:t>
            </w:r>
          </w:p>
        </w:tc>
        <w:tc>
          <w:tcPr>
            <w:tcW w:w="817"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91.1 </w:t>
            </w:r>
          </w:p>
        </w:tc>
        <w:tc>
          <w:tcPr>
            <w:tcW w:w="681"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7</w:t>
            </w:r>
          </w:p>
        </w:tc>
        <w:tc>
          <w:tcPr>
            <w:tcW w:w="936" w:type="dxa"/>
            <w:tcBorders>
              <w:top w:val="single" w:color="000000" w:sz="4" w:space="0"/>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80.0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340" w:hRule="atLeast"/>
          <w:jc w:val="center"/>
        </w:trPr>
        <w:tc>
          <w:tcPr>
            <w:tcW w:w="110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B</w:t>
            </w:r>
          </w:p>
        </w:tc>
        <w:tc>
          <w:tcPr>
            <w:tcW w:w="78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9</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90.4</w:t>
            </w:r>
          </w:p>
        </w:tc>
        <w:tc>
          <w:tcPr>
            <w:tcW w:w="78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1205"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95.3</w:t>
            </w:r>
          </w:p>
        </w:tc>
        <w:tc>
          <w:tcPr>
            <w:tcW w:w="55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4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97.5</w:t>
            </w:r>
          </w:p>
        </w:tc>
        <w:tc>
          <w:tcPr>
            <w:tcW w:w="65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8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97.1 </w:t>
            </w:r>
          </w:p>
        </w:tc>
        <w:tc>
          <w:tcPr>
            <w:tcW w:w="87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83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98.7</w:t>
            </w:r>
          </w:p>
        </w:tc>
        <w:tc>
          <w:tcPr>
            <w:tcW w:w="698"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87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97.3 </w:t>
            </w:r>
          </w:p>
        </w:tc>
        <w:tc>
          <w:tcPr>
            <w:tcW w:w="632"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97.5 </w:t>
            </w:r>
          </w:p>
        </w:tc>
        <w:tc>
          <w:tcPr>
            <w:tcW w:w="681"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9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94.3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340" w:hRule="atLeast"/>
          <w:jc w:val="center"/>
        </w:trPr>
        <w:tc>
          <w:tcPr>
            <w:tcW w:w="110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C</w:t>
            </w:r>
          </w:p>
        </w:tc>
        <w:tc>
          <w:tcPr>
            <w:tcW w:w="78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10</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89.4</w:t>
            </w:r>
          </w:p>
        </w:tc>
        <w:tc>
          <w:tcPr>
            <w:tcW w:w="78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5</w:t>
            </w:r>
          </w:p>
        </w:tc>
        <w:tc>
          <w:tcPr>
            <w:tcW w:w="1205"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94.1</w:t>
            </w:r>
          </w:p>
        </w:tc>
        <w:tc>
          <w:tcPr>
            <w:tcW w:w="55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84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96.3</w:t>
            </w:r>
          </w:p>
        </w:tc>
        <w:tc>
          <w:tcPr>
            <w:tcW w:w="65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94.3 </w:t>
            </w:r>
          </w:p>
        </w:tc>
        <w:tc>
          <w:tcPr>
            <w:tcW w:w="87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83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96.0</w:t>
            </w:r>
          </w:p>
        </w:tc>
        <w:tc>
          <w:tcPr>
            <w:tcW w:w="698"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7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94.6 </w:t>
            </w:r>
          </w:p>
        </w:tc>
        <w:tc>
          <w:tcPr>
            <w:tcW w:w="632"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96.2 </w:t>
            </w:r>
          </w:p>
        </w:tc>
        <w:tc>
          <w:tcPr>
            <w:tcW w:w="681"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9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91.4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340" w:hRule="atLeast"/>
          <w:jc w:val="center"/>
        </w:trPr>
        <w:tc>
          <w:tcPr>
            <w:tcW w:w="110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D</w:t>
            </w:r>
          </w:p>
        </w:tc>
        <w:tc>
          <w:tcPr>
            <w:tcW w:w="78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13</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86.2</w:t>
            </w:r>
          </w:p>
        </w:tc>
        <w:tc>
          <w:tcPr>
            <w:tcW w:w="78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6</w:t>
            </w:r>
          </w:p>
        </w:tc>
        <w:tc>
          <w:tcPr>
            <w:tcW w:w="1205"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92.9 </w:t>
            </w:r>
          </w:p>
        </w:tc>
        <w:tc>
          <w:tcPr>
            <w:tcW w:w="55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84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95</w:t>
            </w:r>
          </w:p>
        </w:tc>
        <w:tc>
          <w:tcPr>
            <w:tcW w:w="65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8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91.4</w:t>
            </w:r>
          </w:p>
        </w:tc>
        <w:tc>
          <w:tcPr>
            <w:tcW w:w="87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83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98.7 </w:t>
            </w:r>
          </w:p>
        </w:tc>
        <w:tc>
          <w:tcPr>
            <w:tcW w:w="698"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87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97.3 </w:t>
            </w:r>
          </w:p>
        </w:tc>
        <w:tc>
          <w:tcPr>
            <w:tcW w:w="632"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97.5 </w:t>
            </w:r>
          </w:p>
        </w:tc>
        <w:tc>
          <w:tcPr>
            <w:tcW w:w="681"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4</w:t>
            </w:r>
          </w:p>
        </w:tc>
        <w:tc>
          <w:tcPr>
            <w:tcW w:w="9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88.6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340" w:hRule="atLeast"/>
          <w:jc w:val="center"/>
        </w:trPr>
        <w:tc>
          <w:tcPr>
            <w:tcW w:w="1103" w:type="dxa"/>
            <w:tcBorders>
              <w:top w:val="nil"/>
              <w:bottom w:val="nil"/>
            </w:tcBorders>
            <w:shd w:val="clear" w:color="auto" w:fill="auto"/>
            <w:noWrap/>
            <w:vAlign w:val="center"/>
          </w:tcPr>
          <w:p>
            <w:pPr>
              <w:keepNext w:val="0"/>
              <w:keepLines w:val="0"/>
              <w:pageBreakBefore w:val="0"/>
              <w:widowControl/>
              <w:suppressLineNumbers w:val="0"/>
              <w:tabs>
                <w:tab w:val="left" w:pos="384"/>
              </w:tabs>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E</w:t>
            </w:r>
          </w:p>
        </w:tc>
        <w:tc>
          <w:tcPr>
            <w:tcW w:w="78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10</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89.4</w:t>
            </w:r>
          </w:p>
        </w:tc>
        <w:tc>
          <w:tcPr>
            <w:tcW w:w="78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5</w:t>
            </w:r>
          </w:p>
        </w:tc>
        <w:tc>
          <w:tcPr>
            <w:tcW w:w="1205"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94.1 </w:t>
            </w:r>
          </w:p>
        </w:tc>
        <w:tc>
          <w:tcPr>
            <w:tcW w:w="55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4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97.5</w:t>
            </w:r>
          </w:p>
        </w:tc>
        <w:tc>
          <w:tcPr>
            <w:tcW w:w="65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94.3</w:t>
            </w:r>
          </w:p>
        </w:tc>
        <w:tc>
          <w:tcPr>
            <w:tcW w:w="87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833"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98.8</w:t>
            </w:r>
          </w:p>
        </w:tc>
        <w:tc>
          <w:tcPr>
            <w:tcW w:w="698"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870"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97.3 </w:t>
            </w:r>
          </w:p>
        </w:tc>
        <w:tc>
          <w:tcPr>
            <w:tcW w:w="632"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2</w:t>
            </w:r>
          </w:p>
        </w:tc>
        <w:tc>
          <w:tcPr>
            <w:tcW w:w="817"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97.5 </w:t>
            </w:r>
          </w:p>
        </w:tc>
        <w:tc>
          <w:tcPr>
            <w:tcW w:w="681"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3</w:t>
            </w:r>
          </w:p>
        </w:tc>
        <w:tc>
          <w:tcPr>
            <w:tcW w:w="936" w:type="dxa"/>
            <w:tcBorders>
              <w:top w:val="nil"/>
              <w:bottom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 xml:space="preserve">91.4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340" w:hRule="atLeast"/>
          <w:jc w:val="center"/>
        </w:trPr>
        <w:tc>
          <w:tcPr>
            <w:tcW w:w="1103"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CK</w:t>
            </w:r>
          </w:p>
        </w:tc>
        <w:tc>
          <w:tcPr>
            <w:tcW w:w="783"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94</w:t>
            </w:r>
          </w:p>
        </w:tc>
        <w:tc>
          <w:tcPr>
            <w:tcW w:w="817"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c>
          <w:tcPr>
            <w:tcW w:w="780"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85</w:t>
            </w:r>
          </w:p>
        </w:tc>
        <w:tc>
          <w:tcPr>
            <w:tcW w:w="1205"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c>
          <w:tcPr>
            <w:tcW w:w="550"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80</w:t>
            </w:r>
          </w:p>
        </w:tc>
        <w:tc>
          <w:tcPr>
            <w:tcW w:w="847"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c>
          <w:tcPr>
            <w:tcW w:w="657"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35</w:t>
            </w:r>
          </w:p>
        </w:tc>
        <w:tc>
          <w:tcPr>
            <w:tcW w:w="836"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c>
          <w:tcPr>
            <w:tcW w:w="873"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75</w:t>
            </w:r>
          </w:p>
        </w:tc>
        <w:tc>
          <w:tcPr>
            <w:tcW w:w="833"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c>
          <w:tcPr>
            <w:tcW w:w="698"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37</w:t>
            </w:r>
          </w:p>
        </w:tc>
        <w:tc>
          <w:tcPr>
            <w:tcW w:w="870"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c>
          <w:tcPr>
            <w:tcW w:w="632"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79</w:t>
            </w:r>
          </w:p>
        </w:tc>
        <w:tc>
          <w:tcPr>
            <w:tcW w:w="817"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c>
          <w:tcPr>
            <w:tcW w:w="681" w:type="dxa"/>
            <w:tcBorders>
              <w:top w:val="nil"/>
              <w:left w:val="nil"/>
              <w:bottom w:val="single" w:color="000000" w:sz="12"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left="-53" w:leftChars="-25" w:right="-53" w:rightChars="-25"/>
              <w:jc w:val="center"/>
              <w:textAlignment w:val="center"/>
              <w:rPr>
                <w:rFonts w:hint="eastAsia" w:ascii="宋体" w:hAnsi="宋体" w:eastAsia="宋体" w:cs="宋体"/>
                <w:b w:val="0"/>
                <w:bCs w:val="0"/>
                <w:i w:val="0"/>
                <w:iCs w:val="0"/>
                <w:color w:val="000000"/>
                <w:sz w:val="21"/>
                <w:szCs w:val="21"/>
                <w:u w:val="none"/>
                <w:lang w:val="en-US" w:eastAsia="zh-CN"/>
              </w:rPr>
            </w:pPr>
            <w:r>
              <w:rPr>
                <w:rFonts w:hint="eastAsia" w:ascii="宋体" w:hAnsi="宋体" w:eastAsia="宋体" w:cs="宋体"/>
                <w:b w:val="0"/>
                <w:bCs w:val="0"/>
                <w:i w:val="0"/>
                <w:iCs w:val="0"/>
                <w:color w:val="000000"/>
                <w:kern w:val="0"/>
                <w:sz w:val="21"/>
                <w:szCs w:val="21"/>
                <w:u w:val="none"/>
                <w:lang w:val="en-US" w:eastAsia="zh-CN" w:bidi="ar"/>
              </w:rPr>
              <w:t>35</w:t>
            </w:r>
          </w:p>
        </w:tc>
        <w:tc>
          <w:tcPr>
            <w:tcW w:w="936" w:type="dxa"/>
            <w:tcBorders>
              <w:top w:val="nil"/>
              <w:left w:val="nil"/>
              <w:bottom w:val="single" w:color="000000" w:sz="12" w:space="0"/>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40" w:lineRule="auto"/>
              <w:ind w:left="-53" w:leftChars="-25" w:right="-53" w:rightChars="-25"/>
              <w:jc w:val="center"/>
              <w:rPr>
                <w:rFonts w:hint="eastAsia" w:ascii="宋体" w:hAnsi="宋体" w:eastAsia="宋体" w:cs="宋体"/>
                <w:b w:val="0"/>
                <w:bCs w:val="0"/>
                <w:i w:val="0"/>
                <w:iCs w:val="0"/>
                <w:color w:val="000000"/>
                <w:sz w:val="21"/>
                <w:szCs w:val="21"/>
                <w:u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center"/>
        <w:textAlignment w:val="auto"/>
        <w:rPr>
          <w:rFonts w:hint="eastAsia" w:ascii="宋体" w:hAnsi="宋体" w:eastAsia="宋体" w:cs="宋体"/>
          <w:b/>
          <w:sz w:val="24"/>
          <w:szCs w:val="24"/>
        </w:rPr>
      </w:pPr>
      <w:r>
        <w:rPr>
          <w:rFonts w:hint="eastAsia" w:ascii="宋体" w:hAnsi="宋体" w:eastAsia="宋体" w:cs="宋体"/>
          <w:b/>
          <w:sz w:val="24"/>
          <w:szCs w:val="24"/>
          <w:lang w:eastAsia="zh-CN"/>
        </w:rPr>
        <w:t>表</w:t>
      </w:r>
      <w:r>
        <w:rPr>
          <w:rFonts w:hint="eastAsia" w:ascii="宋体" w:hAnsi="宋体" w:eastAsia="宋体" w:cs="宋体"/>
          <w:b/>
          <w:sz w:val="24"/>
          <w:szCs w:val="24"/>
          <w:lang w:val="en-US" w:eastAsia="zh-CN"/>
        </w:rPr>
        <w:t xml:space="preserve">12 </w:t>
      </w:r>
      <w:r>
        <w:rPr>
          <w:rFonts w:hint="eastAsia" w:ascii="宋体" w:hAnsi="宋体" w:eastAsia="宋体" w:cs="宋体"/>
          <w:b/>
          <w:snapToGrid w:val="0"/>
          <w:kern w:val="0"/>
          <w:sz w:val="24"/>
          <w:szCs w:val="24"/>
          <w:lang w:val="en-US" w:eastAsia="zh-CN"/>
        </w:rPr>
        <w:t>不同药剂防治鳞翅目害虫</w:t>
      </w:r>
      <w:r>
        <w:rPr>
          <w:rFonts w:hint="eastAsia" w:ascii="宋体" w:hAnsi="宋体" w:eastAsia="宋体" w:cs="宋体"/>
          <w:b/>
          <w:spacing w:val="-20"/>
          <w:sz w:val="24"/>
          <w:szCs w:val="24"/>
          <w:lang w:val="en-US" w:eastAsia="zh-CN"/>
        </w:rPr>
        <w:t>玉米及大豆</w:t>
      </w:r>
      <w:r>
        <w:rPr>
          <w:rFonts w:hint="eastAsia" w:ascii="宋体" w:hAnsi="宋体" w:eastAsia="宋体" w:cs="宋体"/>
          <w:b/>
          <w:sz w:val="24"/>
          <w:szCs w:val="24"/>
        </w:rPr>
        <w:t>产量调查表</w:t>
      </w:r>
    </w:p>
    <w:p>
      <w:pPr>
        <w:spacing w:line="240" w:lineRule="auto"/>
        <w:ind w:firstLine="361" w:firstLineChars="200"/>
        <w:jc w:val="right"/>
        <w:rPr>
          <w:rFonts w:hint="default" w:ascii="宋体" w:hAnsi="宋体" w:eastAsia="宋体" w:cs="宋体"/>
          <w:b w:val="0"/>
          <w:bCs/>
          <w:sz w:val="21"/>
          <w:szCs w:val="21"/>
          <w:lang w:val="en-US" w:eastAsia="zh-CN"/>
        </w:rPr>
      </w:pPr>
      <w:r>
        <w:rPr>
          <w:rFonts w:hint="eastAsia" w:ascii="宋体" w:hAnsi="宋体" w:eastAsia="宋体" w:cs="宋体"/>
          <w:b/>
          <w:sz w:val="18"/>
          <w:szCs w:val="18"/>
          <w:lang w:val="en-US" w:eastAsia="zh-CN"/>
        </w:rPr>
        <w:t xml:space="preserve">                                                    </w:t>
      </w:r>
      <w:r>
        <w:rPr>
          <w:rFonts w:hint="eastAsia" w:ascii="宋体" w:hAnsi="宋体" w:eastAsia="宋体" w:cs="宋体"/>
          <w:b/>
          <w:sz w:val="21"/>
          <w:szCs w:val="21"/>
          <w:lang w:val="en-US" w:eastAsia="zh-CN"/>
        </w:rPr>
        <w:t xml:space="preserve">      </w:t>
      </w:r>
      <w:r>
        <w:rPr>
          <w:rFonts w:hint="eastAsia" w:ascii="宋体" w:hAnsi="宋体" w:eastAsia="宋体" w:cs="宋体"/>
          <w:b w:val="0"/>
          <w:bCs/>
          <w:sz w:val="21"/>
          <w:szCs w:val="21"/>
          <w:lang w:val="en-US" w:eastAsia="zh-CN"/>
        </w:rPr>
        <w:t xml:space="preserve"> 单位：cm、个、g、kg、%</w:t>
      </w:r>
    </w:p>
    <w:tbl>
      <w:tblPr>
        <w:tblStyle w:val="10"/>
        <w:tblW w:w="14053" w:type="dxa"/>
        <w:tblInd w:w="0" w:type="dxa"/>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Layout w:type="fixed"/>
        <w:tblCellMar>
          <w:top w:w="0" w:type="dxa"/>
          <w:left w:w="108" w:type="dxa"/>
          <w:bottom w:w="0" w:type="dxa"/>
          <w:right w:w="108" w:type="dxa"/>
        </w:tblCellMar>
      </w:tblPr>
      <w:tblGrid>
        <w:gridCol w:w="902"/>
        <w:gridCol w:w="1064"/>
        <w:gridCol w:w="1115"/>
        <w:gridCol w:w="1182"/>
        <w:gridCol w:w="1233"/>
        <w:gridCol w:w="1250"/>
        <w:gridCol w:w="1233"/>
        <w:gridCol w:w="1334"/>
        <w:gridCol w:w="1199"/>
        <w:gridCol w:w="1267"/>
        <w:gridCol w:w="1137"/>
        <w:gridCol w:w="1137"/>
      </w:tblGrid>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454" w:hRule="atLeast"/>
        </w:trPr>
        <w:tc>
          <w:tcPr>
            <w:tcW w:w="902"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处理</w:t>
            </w:r>
          </w:p>
        </w:tc>
        <w:tc>
          <w:tcPr>
            <w:tcW w:w="1064"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亩穗数</w:t>
            </w:r>
          </w:p>
        </w:tc>
        <w:tc>
          <w:tcPr>
            <w:tcW w:w="1115"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穗粒数</w:t>
            </w:r>
          </w:p>
        </w:tc>
        <w:tc>
          <w:tcPr>
            <w:tcW w:w="1182"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百粒重</w:t>
            </w:r>
          </w:p>
        </w:tc>
        <w:tc>
          <w:tcPr>
            <w:tcW w:w="1233"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亩产量</w:t>
            </w:r>
          </w:p>
        </w:tc>
        <w:tc>
          <w:tcPr>
            <w:tcW w:w="1250"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增产率</w:t>
            </w:r>
          </w:p>
        </w:tc>
        <w:tc>
          <w:tcPr>
            <w:tcW w:w="1233"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亩株数</w:t>
            </w:r>
          </w:p>
        </w:tc>
        <w:tc>
          <w:tcPr>
            <w:tcW w:w="1334"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株结荚数</w:t>
            </w:r>
          </w:p>
        </w:tc>
        <w:tc>
          <w:tcPr>
            <w:tcW w:w="1199"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株粒数</w:t>
            </w:r>
          </w:p>
        </w:tc>
        <w:tc>
          <w:tcPr>
            <w:tcW w:w="1267"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百粒重</w:t>
            </w:r>
          </w:p>
        </w:tc>
        <w:tc>
          <w:tcPr>
            <w:tcW w:w="1137"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亩产量</w:t>
            </w:r>
          </w:p>
        </w:tc>
        <w:tc>
          <w:tcPr>
            <w:tcW w:w="1137" w:type="dxa"/>
            <w:tcBorders>
              <w:top w:val="single" w:color="000000" w:sz="12" w:space="0"/>
              <w:left w:val="nil"/>
              <w:bottom w:val="single" w:color="000000" w:sz="4"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增产率</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454" w:hRule="atLeast"/>
        </w:trPr>
        <w:tc>
          <w:tcPr>
            <w:tcW w:w="902" w:type="dxa"/>
            <w:tcBorders>
              <w:top w:val="single" w:color="000000" w:sz="4" w:space="0"/>
              <w:bottom w:val="nil"/>
              <w:tl2br w:val="nil"/>
              <w:tr2bl w:val="nil"/>
            </w:tcBorders>
            <w:shd w:val="clear" w:color="auto" w:fill="auto"/>
            <w:noWrap/>
            <w:vAlign w:val="top"/>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1064"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4977.3 </w:t>
            </w:r>
          </w:p>
        </w:tc>
        <w:tc>
          <w:tcPr>
            <w:tcW w:w="1115"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527.7 </w:t>
            </w:r>
          </w:p>
        </w:tc>
        <w:tc>
          <w:tcPr>
            <w:tcW w:w="1182"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36.4 </w:t>
            </w:r>
          </w:p>
        </w:tc>
        <w:tc>
          <w:tcPr>
            <w:tcW w:w="1233"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811.8 </w:t>
            </w:r>
          </w:p>
        </w:tc>
        <w:tc>
          <w:tcPr>
            <w:tcW w:w="1250"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6.0 </w:t>
            </w:r>
          </w:p>
        </w:tc>
        <w:tc>
          <w:tcPr>
            <w:tcW w:w="1233"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8137</w:t>
            </w:r>
          </w:p>
        </w:tc>
        <w:tc>
          <w:tcPr>
            <w:tcW w:w="1334"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22 </w:t>
            </w:r>
          </w:p>
        </w:tc>
        <w:tc>
          <w:tcPr>
            <w:tcW w:w="1199"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52 </w:t>
            </w:r>
          </w:p>
        </w:tc>
        <w:tc>
          <w:tcPr>
            <w:tcW w:w="1267"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19.7 </w:t>
            </w:r>
          </w:p>
        </w:tc>
        <w:tc>
          <w:tcPr>
            <w:tcW w:w="1137"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70.9</w:t>
            </w:r>
          </w:p>
        </w:tc>
        <w:tc>
          <w:tcPr>
            <w:tcW w:w="1137" w:type="dxa"/>
            <w:tcBorders>
              <w:top w:val="single" w:color="000000" w:sz="4" w:space="0"/>
              <w:bottom w:val="nil"/>
              <w:tl2br w:val="nil"/>
              <w:tr2bl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9.9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shd w:val="clear" w:color="auto" w:fill="auto"/>
          <w:tblCellMar>
            <w:top w:w="0" w:type="dxa"/>
            <w:left w:w="108" w:type="dxa"/>
            <w:bottom w:w="0" w:type="dxa"/>
            <w:right w:w="108" w:type="dxa"/>
          </w:tblCellMar>
        </w:tblPrEx>
        <w:trPr>
          <w:trHeight w:val="454" w:hRule="atLeast"/>
        </w:trPr>
        <w:tc>
          <w:tcPr>
            <w:tcW w:w="902" w:type="dxa"/>
            <w:tcBorders>
              <w:top w:val="nil"/>
              <w:bottom w:val="nil"/>
            </w:tcBorders>
            <w:shd w:val="clear" w:color="auto" w:fill="auto"/>
            <w:noWrap/>
            <w:vAlign w:val="top"/>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06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4977.0 </w:t>
            </w:r>
          </w:p>
        </w:tc>
        <w:tc>
          <w:tcPr>
            <w:tcW w:w="1115"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546.7 </w:t>
            </w:r>
          </w:p>
        </w:tc>
        <w:tc>
          <w:tcPr>
            <w:tcW w:w="1182"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36.1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834.1 </w:t>
            </w:r>
          </w:p>
        </w:tc>
        <w:tc>
          <w:tcPr>
            <w:tcW w:w="1250"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8.9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8368</w:t>
            </w:r>
          </w:p>
        </w:tc>
        <w:tc>
          <w:tcPr>
            <w:tcW w:w="133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25 </w:t>
            </w:r>
          </w:p>
        </w:tc>
        <w:tc>
          <w:tcPr>
            <w:tcW w:w="1199"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64 </w:t>
            </w:r>
          </w:p>
        </w:tc>
        <w:tc>
          <w:tcPr>
            <w:tcW w:w="126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19.2 </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87.2</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35.2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454" w:hRule="atLeast"/>
        </w:trPr>
        <w:tc>
          <w:tcPr>
            <w:tcW w:w="902" w:type="dxa"/>
            <w:tcBorders>
              <w:top w:val="nil"/>
              <w:bottom w:val="nil"/>
            </w:tcBorders>
            <w:shd w:val="clear" w:color="auto" w:fill="auto"/>
            <w:noWrap/>
            <w:vAlign w:val="top"/>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06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4973.7 </w:t>
            </w:r>
          </w:p>
        </w:tc>
        <w:tc>
          <w:tcPr>
            <w:tcW w:w="1115"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529.7 </w:t>
            </w:r>
          </w:p>
        </w:tc>
        <w:tc>
          <w:tcPr>
            <w:tcW w:w="1182"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36.3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812.9 </w:t>
            </w:r>
          </w:p>
        </w:tc>
        <w:tc>
          <w:tcPr>
            <w:tcW w:w="1250"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6.2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8216</w:t>
            </w:r>
          </w:p>
        </w:tc>
        <w:tc>
          <w:tcPr>
            <w:tcW w:w="133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24 </w:t>
            </w:r>
          </w:p>
        </w:tc>
        <w:tc>
          <w:tcPr>
            <w:tcW w:w="1199"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56 </w:t>
            </w:r>
          </w:p>
        </w:tc>
        <w:tc>
          <w:tcPr>
            <w:tcW w:w="126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19.3 </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74.9</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16.1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454" w:hRule="atLeast"/>
        </w:trPr>
        <w:tc>
          <w:tcPr>
            <w:tcW w:w="902" w:type="dxa"/>
            <w:tcBorders>
              <w:top w:val="nil"/>
              <w:bottom w:val="nil"/>
            </w:tcBorders>
            <w:shd w:val="clear" w:color="auto" w:fill="auto"/>
            <w:noWrap/>
            <w:vAlign w:val="top"/>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06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4978.3 </w:t>
            </w:r>
          </w:p>
        </w:tc>
        <w:tc>
          <w:tcPr>
            <w:tcW w:w="1115"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528.3 </w:t>
            </w:r>
          </w:p>
        </w:tc>
        <w:tc>
          <w:tcPr>
            <w:tcW w:w="1182"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36.4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813.7 </w:t>
            </w:r>
          </w:p>
        </w:tc>
        <w:tc>
          <w:tcPr>
            <w:tcW w:w="1250"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6.3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8271</w:t>
            </w:r>
          </w:p>
        </w:tc>
        <w:tc>
          <w:tcPr>
            <w:tcW w:w="133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24 </w:t>
            </w:r>
          </w:p>
        </w:tc>
        <w:tc>
          <w:tcPr>
            <w:tcW w:w="1199"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58 </w:t>
            </w:r>
          </w:p>
        </w:tc>
        <w:tc>
          <w:tcPr>
            <w:tcW w:w="126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19.0 </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78</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20.9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454" w:hRule="atLeast"/>
        </w:trPr>
        <w:tc>
          <w:tcPr>
            <w:tcW w:w="902" w:type="dxa"/>
            <w:tcBorders>
              <w:top w:val="nil"/>
              <w:bottom w:val="nil"/>
            </w:tcBorders>
            <w:shd w:val="clear" w:color="auto" w:fill="auto"/>
            <w:noWrap/>
            <w:vAlign w:val="top"/>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06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4973.7 </w:t>
            </w:r>
          </w:p>
        </w:tc>
        <w:tc>
          <w:tcPr>
            <w:tcW w:w="1115"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547.3 </w:t>
            </w:r>
          </w:p>
        </w:tc>
        <w:tc>
          <w:tcPr>
            <w:tcW w:w="1182"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36.6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847.6 </w:t>
            </w:r>
          </w:p>
        </w:tc>
        <w:tc>
          <w:tcPr>
            <w:tcW w:w="1250"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10.7 </w:t>
            </w:r>
          </w:p>
        </w:tc>
        <w:tc>
          <w:tcPr>
            <w:tcW w:w="1233"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8295</w:t>
            </w:r>
          </w:p>
        </w:tc>
        <w:tc>
          <w:tcPr>
            <w:tcW w:w="1334"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25 </w:t>
            </w:r>
          </w:p>
        </w:tc>
        <w:tc>
          <w:tcPr>
            <w:tcW w:w="1199"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61 </w:t>
            </w:r>
          </w:p>
        </w:tc>
        <w:tc>
          <w:tcPr>
            <w:tcW w:w="126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19.4 </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84</w:t>
            </w:r>
          </w:p>
        </w:tc>
        <w:tc>
          <w:tcPr>
            <w:tcW w:w="1137" w:type="dxa"/>
            <w:tcBorders>
              <w:top w:val="nil"/>
              <w:bottom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30.2 </w:t>
            </w:r>
          </w:p>
        </w:tc>
      </w:tr>
      <w:tr>
        <w:tblPrEx>
          <w:tblBorders>
            <w:top w:val="single" w:color="000000" w:sz="4"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454" w:hRule="atLeast"/>
        </w:trPr>
        <w:tc>
          <w:tcPr>
            <w:tcW w:w="902"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top"/>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CK</w:t>
            </w:r>
          </w:p>
        </w:tc>
        <w:tc>
          <w:tcPr>
            <w:tcW w:w="1064"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4978.3</w:t>
            </w:r>
          </w:p>
        </w:tc>
        <w:tc>
          <w:tcPr>
            <w:tcW w:w="1115"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508.3 </w:t>
            </w:r>
          </w:p>
        </w:tc>
        <w:tc>
          <w:tcPr>
            <w:tcW w:w="1182"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35.6 </w:t>
            </w:r>
          </w:p>
        </w:tc>
        <w:tc>
          <w:tcPr>
            <w:tcW w:w="1233"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765.8 </w:t>
            </w:r>
          </w:p>
        </w:tc>
        <w:tc>
          <w:tcPr>
            <w:tcW w:w="1250"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c>
          <w:tcPr>
            <w:tcW w:w="1233"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8030</w:t>
            </w:r>
          </w:p>
        </w:tc>
        <w:tc>
          <w:tcPr>
            <w:tcW w:w="1334"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20 </w:t>
            </w:r>
          </w:p>
        </w:tc>
        <w:tc>
          <w:tcPr>
            <w:tcW w:w="1199"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50 </w:t>
            </w:r>
          </w:p>
        </w:tc>
        <w:tc>
          <w:tcPr>
            <w:tcW w:w="1267"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 xml:space="preserve">19.0 </w:t>
            </w:r>
          </w:p>
        </w:tc>
        <w:tc>
          <w:tcPr>
            <w:tcW w:w="1137"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64.5</w:t>
            </w:r>
          </w:p>
        </w:tc>
        <w:tc>
          <w:tcPr>
            <w:tcW w:w="1137" w:type="dxa"/>
            <w:tcBorders>
              <w:top w:val="nil"/>
              <w:left w:val="nil"/>
              <w:bottom w:val="single" w:color="000000" w:sz="12" w:space="0"/>
              <w:right w:val="nil"/>
            </w:tcBorders>
            <w:shd w:val="clear" w:color="auto" w:fill="auto"/>
            <w:noWrap/>
            <w:vAlign w:val="center"/>
          </w:tcPr>
          <w:p>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21"/>
                <w:szCs w:val="21"/>
                <w:u w:val="none"/>
                <w:lang w:val="en-US" w:eastAsia="zh-CN" w:bidi="ar"/>
              </w:rPr>
            </w:pPr>
          </w:p>
        </w:tc>
      </w:tr>
    </w:tbl>
    <w:p>
      <w:pPr>
        <w:pStyle w:val="16"/>
        <w:ind w:firstLine="643"/>
        <w:rPr>
          <w:rFonts w:hint="eastAsia" w:ascii="Times New Roman" w:hAnsi="Times New Roman" w:eastAsia="仿宋_GB2312" w:cs="Times New Roman"/>
          <w:b/>
          <w:bCs/>
          <w:sz w:val="32"/>
          <w:szCs w:val="32"/>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pPr>
        <w:pStyle w:val="16"/>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textAlignment w:val="auto"/>
        <w:rPr>
          <w:rFonts w:hint="eastAsia" w:ascii="仿宋_GB2312" w:hAnsi="宋体" w:eastAsia="仿宋_GB2312"/>
          <w:b/>
          <w:bCs/>
          <w:sz w:val="32"/>
          <w:szCs w:val="32"/>
          <w:lang w:eastAsia="zh-CN"/>
        </w:rPr>
      </w:pPr>
      <w:r>
        <w:rPr>
          <w:rFonts w:hint="eastAsia" w:ascii="Times New Roman" w:hAnsi="Times New Roman" w:eastAsia="仿宋_GB2312" w:cs="Times New Roman"/>
          <w:b/>
          <w:bCs/>
          <w:sz w:val="32"/>
          <w:szCs w:val="32"/>
          <w:lang w:val="en-US" w:eastAsia="zh-CN"/>
        </w:rPr>
        <w:t>3</w:t>
      </w:r>
      <w:r>
        <w:rPr>
          <w:rFonts w:ascii="Times New Roman" w:hAnsi="Times New Roman" w:eastAsia="仿宋_GB2312" w:cs="Times New Roman"/>
          <w:b/>
          <w:bCs/>
          <w:sz w:val="32"/>
          <w:szCs w:val="32"/>
        </w:rPr>
        <w:t>.</w:t>
      </w:r>
      <w:r>
        <w:rPr>
          <w:rFonts w:hint="eastAsia" w:ascii="Times New Roman" w:hAnsi="Times New Roman" w:eastAsia="仿宋_GB2312" w:cs="Times New Roman"/>
          <w:b/>
          <w:bCs/>
          <w:sz w:val="32"/>
          <w:szCs w:val="32"/>
          <w:lang w:eastAsia="zh-CN"/>
        </w:rPr>
        <w:t>大豆</w:t>
      </w:r>
      <w:r>
        <w:rPr>
          <w:rFonts w:ascii="Times New Roman" w:hAnsi="Times New Roman" w:eastAsia="仿宋_GB2312" w:cs="Times New Roman"/>
          <w:b/>
          <w:bCs/>
          <w:sz w:val="32"/>
          <w:szCs w:val="32"/>
        </w:rPr>
        <w:t>化学</w:t>
      </w:r>
      <w:r>
        <w:rPr>
          <w:rFonts w:hint="eastAsia" w:ascii="仿宋_GB2312" w:hAnsi="宋体" w:eastAsia="仿宋_GB2312"/>
          <w:b/>
          <w:bCs/>
          <w:sz w:val="32"/>
          <w:szCs w:val="32"/>
        </w:rPr>
        <w:t>控旺</w:t>
      </w:r>
      <w:r>
        <w:rPr>
          <w:rFonts w:hint="eastAsia" w:ascii="仿宋_GB2312" w:hAnsi="宋体" w:eastAsia="仿宋_GB2312"/>
          <w:b/>
          <w:bCs/>
          <w:sz w:val="32"/>
          <w:szCs w:val="32"/>
          <w:lang w:eastAsia="zh-CN"/>
        </w:rPr>
        <w:t>试验</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2022-2023年，组织开展大豆化学控旺试验。</w:t>
      </w:r>
      <w:r>
        <w:rPr>
          <w:rFonts w:ascii="Times New Roman" w:hAnsi="Times New Roman" w:eastAsia="仿宋_GB2312" w:cs="Times New Roman"/>
          <w:sz w:val="32"/>
          <w:szCs w:val="32"/>
        </w:rPr>
        <w:t>试验设4个组</w:t>
      </w:r>
      <w:bookmarkStart w:id="5" w:name="_Hlk97647188"/>
      <w:r>
        <w:rPr>
          <w:rFonts w:ascii="Times New Roman" w:hAnsi="Times New Roman" w:eastAsia="仿宋_GB2312" w:cs="Times New Roman"/>
          <w:sz w:val="32"/>
          <w:szCs w:val="32"/>
        </w:rPr>
        <w:t>（</w:t>
      </w:r>
      <w:r>
        <w:rPr>
          <w:rFonts w:ascii="Times New Roman" w:hAnsi="Times New Roman" w:eastAsia="仿宋" w:cs="Times New Roman"/>
          <w:sz w:val="32"/>
          <w:szCs w:val="32"/>
        </w:rPr>
        <w:t>第1组：大豆在分枝期、始花期、盛花期各喷1次；第2组：</w:t>
      </w:r>
      <w:bookmarkStart w:id="6" w:name="_Hlk105489632"/>
      <w:r>
        <w:rPr>
          <w:rFonts w:ascii="Times New Roman" w:hAnsi="Times New Roman" w:eastAsia="仿宋" w:cs="Times New Roman"/>
          <w:sz w:val="32"/>
          <w:szCs w:val="32"/>
        </w:rPr>
        <w:t>大豆在分枝期喷施1次，始花期喷施1次；</w:t>
      </w:r>
      <w:bookmarkEnd w:id="6"/>
      <w:r>
        <w:rPr>
          <w:rFonts w:ascii="Times New Roman" w:hAnsi="Times New Roman" w:eastAsia="仿宋" w:cs="Times New Roman"/>
          <w:sz w:val="32"/>
          <w:szCs w:val="32"/>
        </w:rPr>
        <w:t>第3组：</w:t>
      </w:r>
      <w:bookmarkStart w:id="7" w:name="_Hlk105489664"/>
      <w:r>
        <w:rPr>
          <w:rFonts w:ascii="Times New Roman" w:hAnsi="Times New Roman" w:eastAsia="仿宋" w:cs="Times New Roman"/>
          <w:sz w:val="32"/>
          <w:szCs w:val="32"/>
        </w:rPr>
        <w:t>大豆在分枝期喷施1次，盛花期喷施1次；</w:t>
      </w:r>
      <w:bookmarkEnd w:id="7"/>
      <w:r>
        <w:rPr>
          <w:rFonts w:ascii="Times New Roman" w:hAnsi="Times New Roman" w:eastAsia="仿宋" w:cs="Times New Roman"/>
          <w:sz w:val="32"/>
          <w:szCs w:val="32"/>
        </w:rPr>
        <w:t>第4组：大豆在始花期喷施1次，盛花期喷施1次</w:t>
      </w:r>
      <w:r>
        <w:rPr>
          <w:rFonts w:ascii="Times New Roman" w:hAnsi="Times New Roman" w:eastAsia="仿宋_GB2312" w:cs="Times New Roman"/>
          <w:sz w:val="32"/>
          <w:szCs w:val="32"/>
        </w:rPr>
        <w:t>）</w:t>
      </w:r>
      <w:bookmarkEnd w:id="5"/>
      <w:r>
        <w:rPr>
          <w:rFonts w:ascii="Times New Roman" w:hAnsi="Times New Roman" w:eastAsia="仿宋_GB2312" w:cs="Times New Roman"/>
          <w:sz w:val="32"/>
          <w:szCs w:val="32"/>
        </w:rPr>
        <w:t>，每组4个处理，小区面积60m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。5个处理，处理A，5%的烯效唑可湿性粉剂35g/亩;处理B，5%的烯效唑可湿性粉剂50g/亩;处理C，10%的多效唑·甲哌鎓可湿性粉剂65g/亩;处理D，10%的多效唑·甲哌鎓可湿性粉剂80g/亩；处理CK，空白对照。</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宋体" w:eastAsia="仿宋_GB2312"/>
          <w:sz w:val="32"/>
          <w:szCs w:val="32"/>
        </w:rPr>
      </w:pPr>
      <w:r>
        <w:rPr>
          <w:rFonts w:hint="eastAsia" w:ascii="仿宋_GB2312" w:hAnsi="宋体" w:eastAsia="仿宋_GB2312"/>
          <w:b/>
          <w:bCs/>
          <w:sz w:val="32"/>
          <w:szCs w:val="32"/>
        </w:rPr>
        <w:t>安全性调查：</w:t>
      </w:r>
      <w:r>
        <w:rPr>
          <w:rFonts w:ascii="Times New Roman" w:hAnsi="Times New Roman" w:eastAsia="仿宋_GB2312" w:cs="Times New Roman"/>
          <w:sz w:val="32"/>
          <w:szCs w:val="32"/>
        </w:rPr>
        <w:t>分枝期、始花期、盛花期施药后7天，叶片、叶色均正常，未发现矮</w:t>
      </w:r>
      <w:r>
        <w:rPr>
          <w:rFonts w:hint="eastAsia" w:ascii="仿宋_GB2312" w:hAnsi="宋体" w:eastAsia="仿宋_GB2312"/>
          <w:sz w:val="32"/>
          <w:szCs w:val="32"/>
        </w:rPr>
        <w:t>化、枯斑、黄化、畸形等药害症状。</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宋体" w:eastAsia="仿宋_GB2312"/>
          <w:sz w:val="32"/>
          <w:szCs w:val="32"/>
        </w:rPr>
      </w:pPr>
      <w:r>
        <w:rPr>
          <w:rFonts w:hint="eastAsia" w:ascii="仿宋_GB2312" w:hAnsi="宋体" w:eastAsia="仿宋_GB2312"/>
          <w:b/>
          <w:bCs/>
          <w:sz w:val="32"/>
          <w:szCs w:val="32"/>
        </w:rPr>
        <w:t>大豆农艺性状及产量调查：</w:t>
      </w:r>
      <w:r>
        <w:rPr>
          <w:rFonts w:ascii="Times New Roman" w:hAnsi="Times New Roman" w:eastAsia="仿宋_GB2312" w:cs="Times New Roman"/>
          <w:sz w:val="32"/>
          <w:szCs w:val="32"/>
        </w:rPr>
        <w:t>4组施药时期中，每4个处理对大豆株高、主茎节数、单株荚数、有效荚数、单株粒数、百粒重、亩产量等均有不同程度的影响</w:t>
      </w:r>
      <w:r>
        <w:rPr>
          <w:rFonts w:hint="eastAsia" w:ascii="Times New Roman" w:hAnsi="Times New Roman" w:eastAsia="仿宋_GB2312" w:cs="Times New Roman"/>
          <w:sz w:val="32"/>
          <w:szCs w:val="32"/>
          <w:lang w:eastAsia="zh-CN"/>
        </w:rPr>
        <w:t>（表</w:t>
      </w:r>
      <w:r>
        <w:rPr>
          <w:rFonts w:hint="eastAsia" w:ascii="Times New Roman" w:hAnsi="Times New Roman" w:eastAsia="仿宋_GB2312" w:cs="Times New Roman"/>
          <w:sz w:val="32"/>
          <w:szCs w:val="32"/>
          <w:lang w:val="en-US" w:eastAsia="zh-CN"/>
        </w:rPr>
        <w:t>13</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cs="Times New Roman"/>
          <w:sz w:val="32"/>
          <w:szCs w:val="32"/>
        </w:rPr>
      </w:pPr>
      <w:r>
        <w:rPr>
          <w:rFonts w:hint="eastAsia" w:ascii="仿宋_GB2312" w:hAnsi="宋体" w:eastAsia="仿宋_GB2312"/>
          <w:b/>
          <w:bCs/>
          <w:sz w:val="32"/>
          <w:szCs w:val="32"/>
        </w:rPr>
        <w:t>从调控时期看</w:t>
      </w:r>
      <w:r>
        <w:rPr>
          <w:rFonts w:hint="eastAsia" w:ascii="仿宋_GB2312" w:hAnsi="宋体" w:eastAsia="仿宋_GB2312"/>
          <w:sz w:val="32"/>
          <w:szCs w:val="32"/>
        </w:rPr>
        <w:t>，</w:t>
      </w:r>
      <w:r>
        <w:rPr>
          <w:rFonts w:ascii="Times New Roman" w:hAnsi="Times New Roman" w:eastAsia="仿宋_GB2312" w:cs="Times New Roman"/>
          <w:sz w:val="32"/>
          <w:szCs w:val="32"/>
        </w:rPr>
        <w:t>第1组（大豆在分枝期、始花期、盛花期各喷1次），青铜峡市调查9个指标中有5个指标的处理平均值均低于对照值，其中株高（93cm 100.5cm）、单株荚数（26.5个、33.8个）、有效荚数（25.7个、33.2个）、单株粒数（62.3粒、79.93粒）、亩产量（75kg、87kg）；同心县调查9个指标中有2个指标均低于对照，其中株高（93cm、100.5cm）、主茎节数（10.7个、12.5个）。</w:t>
      </w:r>
      <w:r>
        <w:rPr>
          <w:rFonts w:ascii="Times New Roman" w:hAnsi="Times New Roman" w:eastAsia="仿宋" w:cs="Times New Roman"/>
          <w:sz w:val="32"/>
          <w:szCs w:val="32"/>
        </w:rPr>
        <w:t>第2组（大豆在分枝期喷施1次，始花期喷施1次），</w:t>
      </w:r>
      <w:r>
        <w:rPr>
          <w:rFonts w:ascii="Times New Roman" w:hAnsi="Times New Roman" w:eastAsia="仿宋_GB2312" w:cs="Times New Roman"/>
          <w:sz w:val="32"/>
          <w:szCs w:val="32"/>
        </w:rPr>
        <w:t>青铜峡市调查9个指标中有5个指标的处理平均值均低于对照值，其中株高（95cm、104.7cm）、主茎节数（14.5个、15.6个）、每荚粒数（2.3个、2.62个）、单株粒数（57.4粒、57.73粒）、亩产量（80.9kg、92.8kg）；同心县调查9个指标中有4个指标均低于对照，其中株高（102.3cm、116.5cm）、主茎节数（11个、12.5个）、每荚粒数（2.3个、2.62个）、单株粒数（50个、54.23个）。第3组（大豆在分枝期喷施1次，盛花期喷施1次）青铜峡市调查9个指标中有2个指标的处理平均值均低于对照值，其中株高（94.7cm、99.7cm）、百粒重（21.9g、22.6g）；同心县调查9个指标中有2个指标均低于对照，其中株高（102.3cm、116.5cm）、主茎节数（11.1个、12.5个）。第4组（</w:t>
      </w:r>
      <w:r>
        <w:rPr>
          <w:rFonts w:ascii="Times New Roman" w:hAnsi="Times New Roman" w:eastAsia="仿宋" w:cs="Times New Roman"/>
          <w:sz w:val="32"/>
          <w:szCs w:val="32"/>
        </w:rPr>
        <w:t>大豆在始花期喷施1次，盛花期喷施1次</w:t>
      </w:r>
      <w:r>
        <w:rPr>
          <w:rFonts w:ascii="Times New Roman" w:hAnsi="Times New Roman" w:eastAsia="仿宋_GB2312" w:cs="Times New Roman"/>
          <w:sz w:val="32"/>
          <w:szCs w:val="32"/>
        </w:rPr>
        <w:t>）青铜峡市调查9个指标中有8个指标的处理平均值均低于对照值，其中株高（91cm、95.2cm）、分枝数（0.8个、0.93个）、单株荚数（27.6个、33.1个）、有效荚数（26.1个、31.6个）、每荚粒数（2.4个、2.55个）、单株粒数（62.2粒、80.73粒）、百粒重（21.6g、22.5g）亩产量（80.9kg、92.8kg）；同心县调查9个指标中有3个指标均低于对照，其中株高（103.1cm、115.5cm）、主茎节数（11.4个、12.6个）、每荚粒数（2.4个、2.55个）。综合各农艺性状指标和产量指标，化学调控最适的喷施时期为第3组（大豆在分枝期喷施1次，盛花期喷施1次）。</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Times New Roman" w:hAnsi="Times New Roman" w:eastAsia="仿宋_GB2312" w:cs="Times New Roman"/>
          <w:sz w:val="32"/>
          <w:szCs w:val="32"/>
        </w:rPr>
      </w:pPr>
      <w:r>
        <w:rPr>
          <w:rFonts w:hint="eastAsia" w:ascii="仿宋_GB2312" w:hAnsi="宋体" w:eastAsia="仿宋_GB2312"/>
          <w:b/>
          <w:bCs/>
          <w:sz w:val="32"/>
          <w:szCs w:val="32"/>
        </w:rPr>
        <w:t>从调控处理看，</w:t>
      </w:r>
      <w:r>
        <w:rPr>
          <w:rFonts w:ascii="Times New Roman" w:hAnsi="Times New Roman" w:eastAsia="仿宋_GB2312" w:cs="Times New Roman"/>
          <w:sz w:val="32"/>
          <w:szCs w:val="32"/>
        </w:rPr>
        <w:t>第3组（大豆在分枝期喷施1次，盛花期喷施1次），青铜峡调查4个处理中处理B（5%的烯效唑可湿性粉剂50g/亩）、处理C（10%的多效唑·甲哌鎓可湿性粉剂65g/亩）和处理D（10%的多效唑·甲哌鎓可湿性粉剂80g/亩）单株荚数、有效荚数、单株粒数、亩产量均高于对照处理；同心县4个处理中处理B（5%的烯效唑可湿性粉剂50g/亩）、处理C（10%的多效唑·甲哌鎓可湿性粉剂65g/亩）和处理D（10%的多效唑·甲哌鎓可湿性粉剂80g/亩）主茎节数、单株荚数、有效荚数、百粒重、亩产量均高于对照处理。综合各农艺性状指标和产量指标，调控效果最优的处理为处理B、处理C和处理D。</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综合以上分析，化学调控最适时期为大豆在分枝期喷施1次，盛花期喷施1次；最佳调控药剂为5%的烯效唑可湿性粉剂50g/亩，10%的多效唑·甲哌鎓可湿性粉剂65g/亩。</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4.示范应用情况</w:t>
      </w:r>
    </w:p>
    <w:p>
      <w:pPr>
        <w:numPr>
          <w:ilvl w:val="0"/>
          <w:numId w:val="0"/>
        </w:numPr>
        <w:spacing w:line="600" w:lineRule="exact"/>
        <w:ind w:firstLine="640" w:firstLineChars="20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val="0"/>
          <w:bCs w:val="0"/>
          <w:sz w:val="32"/>
          <w:szCs w:val="32"/>
          <w:lang w:val="en-US" w:eastAsia="zh-CN"/>
        </w:rPr>
        <w:t>2022-2024年，采用边研究、边试验、边示范推广的工作模式，在全区各小麦套种大豆种植县（区）对集成的相关防控技术进行示范应用和推广。在贺兰县、永宁县建立2个示范区，示范面积2000亩。</w:t>
      </w:r>
    </w:p>
    <w:p>
      <w:pPr>
        <w:numPr>
          <w:ilvl w:val="0"/>
          <w:numId w:val="0"/>
        </w:numPr>
        <w:spacing w:line="600" w:lineRule="exact"/>
        <w:ind w:left="600" w:leftChars="0"/>
        <w:rPr>
          <w:rFonts w:hint="eastAsia" w:ascii="Times New Roman" w:hAnsi="Times New Roman" w:eastAsia="仿宋_GB2312" w:cs="Times New Roman"/>
          <w:b/>
          <w:bCs/>
          <w:sz w:val="32"/>
          <w:szCs w:val="32"/>
          <w:lang w:val="en-US" w:eastAsia="zh-CN"/>
        </w:rPr>
      </w:pPr>
      <w:r>
        <w:rPr>
          <w:rFonts w:hint="eastAsia" w:ascii="Times New Roman" w:hAnsi="Times New Roman" w:eastAsia="仿宋_GB2312" w:cs="Times New Roman"/>
          <w:b/>
          <w:bCs/>
          <w:sz w:val="32"/>
          <w:szCs w:val="32"/>
          <w:lang w:val="en-US" w:eastAsia="zh-CN"/>
        </w:rPr>
        <w:t>（1）贺兰县小麦套种大豆病虫草害防控技术示范</w:t>
      </w:r>
    </w:p>
    <w:p>
      <w:pPr>
        <w:numPr>
          <w:ilvl w:val="0"/>
          <w:numId w:val="0"/>
        </w:numPr>
        <w:spacing w:line="60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sz w:val="32"/>
          <w:szCs w:val="32"/>
          <w:lang w:val="en-US" w:eastAsia="zh-CN"/>
        </w:rPr>
        <w:t>贺兰县</w:t>
      </w:r>
      <w:r>
        <w:rPr>
          <w:rFonts w:hint="eastAsia" w:ascii="Times New Roman" w:hAnsi="Times New Roman" w:eastAsia="仿宋_GB2312" w:cs="Times New Roman"/>
          <w:sz w:val="32"/>
          <w:szCs w:val="32"/>
        </w:rPr>
        <w:t>示范区</w:t>
      </w:r>
      <w:r>
        <w:rPr>
          <w:rFonts w:hint="eastAsia" w:ascii="Times New Roman" w:hAnsi="Times New Roman" w:eastAsia="仿宋_GB2312" w:cs="Times New Roman"/>
          <w:sz w:val="32"/>
          <w:szCs w:val="32"/>
          <w:lang w:val="en-US" w:eastAsia="zh-CN"/>
        </w:rPr>
        <w:t>病虫害预测预报准确率91%，</w:t>
      </w:r>
      <w:r>
        <w:rPr>
          <w:rFonts w:hint="eastAsia" w:ascii="Times New Roman" w:hAnsi="Times New Roman" w:eastAsia="仿宋_GB2312" w:cs="Times New Roman"/>
          <w:sz w:val="32"/>
          <w:szCs w:val="32"/>
        </w:rPr>
        <w:t>较自防区农药使用次数减少1次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亩减少</w:t>
      </w:r>
      <w:r>
        <w:rPr>
          <w:rFonts w:hint="eastAsia" w:ascii="Times New Roman" w:hAnsi="Times New Roman" w:eastAsia="仿宋_GB2312" w:cs="Times New Roman"/>
          <w:sz w:val="32"/>
          <w:szCs w:val="32"/>
          <w:lang w:val="en-US" w:eastAsia="zh-CN"/>
        </w:rPr>
        <w:t>农药使用量</w:t>
      </w:r>
      <w:r>
        <w:rPr>
          <w:rFonts w:hint="eastAsia" w:ascii="Times New Roman" w:hAnsi="Times New Roman" w:eastAsia="仿宋_GB2312" w:cs="Times New Roman"/>
          <w:sz w:val="32"/>
          <w:szCs w:val="32"/>
        </w:rPr>
        <w:t>40</w:t>
      </w:r>
      <w:r>
        <w:rPr>
          <w:rFonts w:hint="default" w:ascii="Times New Roman" w:hAnsi="Times New Roman" w:eastAsia="仿宋_GB2312" w:cs="Times New Roman"/>
          <w:sz w:val="32"/>
          <w:szCs w:val="32"/>
          <w:lang w:val="en-US" w:eastAsia="zh-CN"/>
        </w:rPr>
        <w:t>mL</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rPr>
        <w:t>除草剂使用</w:t>
      </w:r>
      <w:r>
        <w:rPr>
          <w:rFonts w:hint="eastAsia" w:ascii="Times New Roman" w:hAnsi="Times New Roman" w:eastAsia="仿宋_GB2312" w:cs="Times New Roman"/>
          <w:sz w:val="32"/>
          <w:szCs w:val="32"/>
          <w:lang w:val="en-US" w:eastAsia="zh-CN"/>
        </w:rPr>
        <w:t>量</w:t>
      </w:r>
      <w:r>
        <w:rPr>
          <w:rFonts w:hint="eastAsia" w:ascii="Times New Roman" w:hAnsi="Times New Roman" w:eastAsia="仿宋_GB2312" w:cs="Times New Roman"/>
          <w:sz w:val="32"/>
          <w:szCs w:val="32"/>
        </w:rPr>
        <w:t>21</w:t>
      </w:r>
      <w:r>
        <w:rPr>
          <w:rFonts w:hint="default" w:ascii="Times New Roman" w:hAnsi="Times New Roman" w:eastAsia="仿宋_GB2312" w:cs="Times New Roman"/>
          <w:sz w:val="32"/>
          <w:szCs w:val="32"/>
          <w:lang w:val="en-US" w:eastAsia="zh-CN"/>
        </w:rPr>
        <w:t>mL</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亩减少用工成本8元</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病虫害防效及草害防效</w:t>
      </w:r>
      <w:r>
        <w:rPr>
          <w:rFonts w:hint="eastAsia" w:ascii="Times New Roman" w:hAnsi="Times New Roman" w:eastAsia="仿宋_GB2312" w:cs="Times New Roman"/>
          <w:sz w:val="32"/>
          <w:szCs w:val="32"/>
          <w:lang w:val="en-US" w:eastAsia="zh-CN"/>
        </w:rPr>
        <w:t>分别</w:t>
      </w:r>
      <w:r>
        <w:rPr>
          <w:rFonts w:hint="eastAsia" w:ascii="Times New Roman" w:hAnsi="Times New Roman" w:eastAsia="仿宋_GB2312" w:cs="Times New Roman"/>
          <w:sz w:val="32"/>
          <w:szCs w:val="32"/>
        </w:rPr>
        <w:t>提高1</w:t>
      </w:r>
      <w:r>
        <w:rPr>
          <w:rFonts w:hint="eastAsia"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rPr>
        <w:t>%和1</w:t>
      </w:r>
      <w:r>
        <w:rPr>
          <w:rFonts w:hint="eastAsia" w:ascii="Times New Roman" w:hAnsi="Times New Roman" w:eastAsia="仿宋_GB2312" w:cs="Times New Roman"/>
          <w:sz w:val="32"/>
          <w:szCs w:val="32"/>
          <w:lang w:val="en-US" w:eastAsia="zh-CN"/>
        </w:rPr>
        <w:t>5.6</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，小麦</w:t>
      </w:r>
      <w:r>
        <w:rPr>
          <w:rFonts w:hint="eastAsia" w:ascii="Times New Roman" w:hAnsi="Times New Roman" w:eastAsia="仿宋_GB2312" w:cs="Times New Roman"/>
          <w:sz w:val="32"/>
          <w:szCs w:val="32"/>
        </w:rPr>
        <w:t>亩增</w:t>
      </w:r>
      <w:r>
        <w:rPr>
          <w:rFonts w:hint="eastAsia" w:ascii="Times New Roman" w:hAnsi="Times New Roman" w:eastAsia="仿宋_GB2312" w:cs="Times New Roman"/>
          <w:sz w:val="32"/>
          <w:szCs w:val="32"/>
          <w:lang w:val="en-US" w:eastAsia="zh-CN"/>
        </w:rPr>
        <w:t>产8.1kg-23.1kg</w:t>
      </w:r>
      <w:r>
        <w:rPr>
          <w:rFonts w:hint="eastAsia" w:ascii="Times New Roman" w:hAnsi="Times New Roman" w:eastAsia="仿宋_GB2312" w:cs="Times New Roman"/>
          <w:sz w:val="32"/>
          <w:szCs w:val="32"/>
          <w:lang w:eastAsia="zh-CN"/>
        </w:rPr>
        <w:t>，大豆亩增产</w:t>
      </w:r>
      <w:r>
        <w:rPr>
          <w:rFonts w:hint="eastAsia" w:ascii="Times New Roman" w:hAnsi="Times New Roman" w:eastAsia="仿宋_GB2312" w:cs="Times New Roman"/>
          <w:sz w:val="32"/>
          <w:szCs w:val="32"/>
          <w:lang w:val="en-US" w:eastAsia="zh-CN"/>
        </w:rPr>
        <w:t>15.1kg-25.7kg，小麦套种大豆田亩均节本增效84.6元-157元。</w:t>
      </w:r>
    </w:p>
    <w:p>
      <w:pPr>
        <w:numPr>
          <w:ilvl w:val="0"/>
          <w:numId w:val="0"/>
        </w:numPr>
        <w:spacing w:line="600" w:lineRule="exact"/>
        <w:ind w:left="600" w:leftChars="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b/>
          <w:bCs/>
          <w:sz w:val="32"/>
          <w:szCs w:val="32"/>
          <w:lang w:val="en-US" w:eastAsia="zh-CN"/>
        </w:rPr>
        <w:t>（2）永宁县小麦套种大豆病虫草害防控技术示范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sz w:val="32"/>
          <w:szCs w:val="32"/>
          <w:lang w:val="en-US" w:eastAsia="zh-CN"/>
        </w:rPr>
        <w:t>永宁县水稻</w:t>
      </w:r>
      <w:r>
        <w:rPr>
          <w:rFonts w:hint="eastAsia" w:ascii="Times New Roman" w:hAnsi="Times New Roman" w:eastAsia="仿宋_GB2312" w:cs="Times New Roman"/>
          <w:sz w:val="32"/>
          <w:szCs w:val="32"/>
        </w:rPr>
        <w:t>示范区</w:t>
      </w:r>
      <w:r>
        <w:rPr>
          <w:rFonts w:hint="eastAsia" w:ascii="Times New Roman" w:hAnsi="Times New Roman" w:eastAsia="仿宋_GB2312" w:cs="Times New Roman"/>
          <w:sz w:val="32"/>
          <w:szCs w:val="32"/>
          <w:lang w:val="en-US" w:eastAsia="zh-CN"/>
        </w:rPr>
        <w:t>病虫害预测预报准确率88%，</w:t>
      </w:r>
      <w:r>
        <w:rPr>
          <w:rFonts w:hint="eastAsia" w:ascii="Times New Roman" w:hAnsi="Times New Roman" w:eastAsia="仿宋_GB2312" w:cs="Times New Roman"/>
          <w:sz w:val="32"/>
          <w:szCs w:val="32"/>
        </w:rPr>
        <w:t>较自防区农药使用次数减少1次</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亩减少</w:t>
      </w:r>
      <w:r>
        <w:rPr>
          <w:rFonts w:hint="eastAsia" w:ascii="Times New Roman" w:hAnsi="Times New Roman" w:eastAsia="仿宋_GB2312" w:cs="Times New Roman"/>
          <w:sz w:val="32"/>
          <w:szCs w:val="32"/>
          <w:lang w:val="en-US" w:eastAsia="zh-CN"/>
        </w:rPr>
        <w:t>农药使用量35</w:t>
      </w:r>
      <w:r>
        <w:rPr>
          <w:rFonts w:hint="default" w:ascii="Times New Roman" w:hAnsi="Times New Roman" w:eastAsia="仿宋_GB2312" w:cs="Times New Roman"/>
          <w:sz w:val="32"/>
          <w:szCs w:val="32"/>
          <w:lang w:val="en-US" w:eastAsia="zh-CN"/>
        </w:rPr>
        <w:t>mL</w:t>
      </w:r>
      <w:r>
        <w:rPr>
          <w:rFonts w:hint="eastAsia" w:ascii="Times New Roman" w:hAnsi="Times New Roman" w:eastAsia="仿宋_GB2312" w:cs="Times New Roman"/>
          <w:sz w:val="32"/>
          <w:szCs w:val="32"/>
          <w:lang w:eastAsia="zh-CN"/>
        </w:rPr>
        <w:t>，减少</w:t>
      </w:r>
      <w:r>
        <w:rPr>
          <w:rFonts w:hint="eastAsia" w:ascii="Times New Roman" w:hAnsi="Times New Roman" w:eastAsia="仿宋_GB2312" w:cs="Times New Roman"/>
          <w:sz w:val="32"/>
          <w:szCs w:val="32"/>
        </w:rPr>
        <w:t>除草剂使用</w:t>
      </w:r>
      <w:r>
        <w:rPr>
          <w:rFonts w:hint="eastAsia" w:ascii="Times New Roman" w:hAnsi="Times New Roman" w:eastAsia="仿宋_GB2312" w:cs="Times New Roman"/>
          <w:sz w:val="32"/>
          <w:szCs w:val="32"/>
          <w:lang w:val="en-US" w:eastAsia="zh-CN"/>
        </w:rPr>
        <w:t>量20</w:t>
      </w:r>
      <w:r>
        <w:rPr>
          <w:rFonts w:hint="default" w:ascii="Times New Roman" w:hAnsi="Times New Roman" w:eastAsia="仿宋_GB2312" w:cs="Times New Roman"/>
          <w:sz w:val="32"/>
          <w:szCs w:val="32"/>
          <w:lang w:val="en-US" w:eastAsia="zh-CN"/>
        </w:rPr>
        <w:t>mL</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亩减少用工成本</w:t>
      </w:r>
      <w:r>
        <w:rPr>
          <w:rFonts w:hint="eastAsia" w:ascii="Times New Roman" w:hAnsi="Times New Roman" w:eastAsia="仿宋_GB2312" w:cs="Times New Roman"/>
          <w:sz w:val="32"/>
          <w:szCs w:val="32"/>
          <w:lang w:val="en-US" w:eastAsia="zh-CN"/>
        </w:rPr>
        <w:t>7.6</w:t>
      </w:r>
      <w:r>
        <w:rPr>
          <w:rFonts w:hint="eastAsia" w:ascii="Times New Roman" w:hAnsi="Times New Roman" w:eastAsia="仿宋_GB2312" w:cs="Times New Roman"/>
          <w:sz w:val="32"/>
          <w:szCs w:val="32"/>
        </w:rPr>
        <w:t>元</w:t>
      </w:r>
      <w:r>
        <w:rPr>
          <w:rFonts w:hint="eastAsia" w:ascii="Times New Roman" w:hAnsi="Times New Roman" w:eastAsia="仿宋_GB2312" w:cs="Times New Roman"/>
          <w:sz w:val="32"/>
          <w:szCs w:val="32"/>
          <w:lang w:eastAsia="zh-CN"/>
        </w:rPr>
        <w:t>，小麦</w:t>
      </w:r>
      <w:r>
        <w:rPr>
          <w:rFonts w:hint="eastAsia" w:ascii="Times New Roman" w:hAnsi="Times New Roman" w:eastAsia="仿宋_GB2312" w:cs="Times New Roman"/>
          <w:sz w:val="32"/>
          <w:szCs w:val="32"/>
        </w:rPr>
        <w:t>亩增</w:t>
      </w:r>
      <w:r>
        <w:rPr>
          <w:rFonts w:hint="eastAsia" w:ascii="Times New Roman" w:hAnsi="Times New Roman" w:eastAsia="仿宋_GB2312" w:cs="Times New Roman"/>
          <w:sz w:val="32"/>
          <w:szCs w:val="32"/>
          <w:lang w:val="en-US" w:eastAsia="zh-CN"/>
        </w:rPr>
        <w:t>产141.8kg-150.5kg</w:t>
      </w:r>
      <w:r>
        <w:rPr>
          <w:rFonts w:hint="eastAsia" w:ascii="Times New Roman" w:hAnsi="Times New Roman" w:eastAsia="仿宋_GB2312" w:cs="Times New Roman"/>
          <w:sz w:val="32"/>
          <w:szCs w:val="32"/>
          <w:lang w:eastAsia="zh-CN"/>
        </w:rPr>
        <w:t>，大豆亩增产</w:t>
      </w:r>
      <w:r>
        <w:rPr>
          <w:rFonts w:hint="eastAsia" w:ascii="Times New Roman" w:hAnsi="Times New Roman" w:eastAsia="仿宋_GB2312" w:cs="Times New Roman"/>
          <w:sz w:val="32"/>
          <w:szCs w:val="32"/>
          <w:lang w:val="en-US" w:eastAsia="zh-CN"/>
        </w:rPr>
        <w:t>27.8kg-37.1kg，小麦套种大豆田亩均节本增效402.4元-457元。</w:t>
      </w:r>
    </w:p>
    <w:p>
      <w:pPr>
        <w:pStyle w:val="2"/>
        <w:rPr>
          <w:rFonts w:hint="eastAsia"/>
          <w:lang w:val="en-US" w:eastAsia="zh-CN"/>
        </w:rPr>
      </w:pPr>
    </w:p>
    <w:p>
      <w:pPr>
        <w:pStyle w:val="2"/>
        <w:rPr>
          <w:rFonts w:hint="default"/>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pPr>
        <w:jc w:val="center"/>
        <w:rPr>
          <w:rFonts w:ascii="宋体" w:hAnsi="宋体" w:eastAsia="宋体" w:cs="宋体"/>
          <w:b/>
          <w:bCs/>
          <w:sz w:val="24"/>
        </w:rPr>
      </w:pPr>
      <w:r>
        <w:rPr>
          <w:rFonts w:hint="eastAsia" w:ascii="宋体" w:hAnsi="宋体" w:eastAsia="宋体" w:cs="宋体"/>
          <w:b/>
          <w:bCs/>
          <w:sz w:val="24"/>
        </w:rPr>
        <w:t>表1</w:t>
      </w:r>
      <w:r>
        <w:rPr>
          <w:rFonts w:hint="eastAsia" w:ascii="宋体" w:hAnsi="宋体" w:eastAsia="宋体" w:cs="宋体"/>
          <w:b/>
          <w:bCs/>
          <w:sz w:val="24"/>
          <w:lang w:val="en-US" w:eastAsia="zh-CN"/>
        </w:rPr>
        <w:t>3</w:t>
      </w:r>
      <w:r>
        <w:rPr>
          <w:rFonts w:hint="eastAsia" w:ascii="宋体" w:hAnsi="宋体" w:eastAsia="宋体" w:cs="宋体"/>
          <w:b/>
          <w:bCs/>
          <w:sz w:val="24"/>
        </w:rPr>
        <w:t>化学调控大豆农艺性状和产量调查表</w:t>
      </w:r>
    </w:p>
    <w:p>
      <w:pPr>
        <w:rPr>
          <w:rFonts w:ascii="仿宋_GB2312" w:hAnsi="仿宋_GB2312" w:eastAsia="仿宋_GB2312" w:cs="仿宋_GB2312"/>
        </w:rPr>
      </w:pPr>
      <w:r>
        <w:rPr>
          <w:rFonts w:hint="eastAsia"/>
        </w:rPr>
        <w:t xml:space="preserve">                                                                                            </w:t>
      </w:r>
      <w:r>
        <w:rPr>
          <w:rFonts w:hint="eastAsia" w:ascii="仿宋_GB2312" w:hAnsi="仿宋_GB2312" w:eastAsia="仿宋_GB2312" w:cs="仿宋_GB2312"/>
        </w:rPr>
        <w:t>单位：株、cm、个、节、粒、g、kg</w:t>
      </w:r>
    </w:p>
    <w:tbl>
      <w:tblPr>
        <w:tblStyle w:val="11"/>
        <w:tblpPr w:leftFromText="180" w:rightFromText="180" w:vertAnchor="text" w:horzAnchor="page" w:tblpXSpec="center" w:tblpY="39"/>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5"/>
        <w:gridCol w:w="724"/>
        <w:gridCol w:w="1121"/>
        <w:gridCol w:w="860"/>
        <w:gridCol w:w="919"/>
        <w:gridCol w:w="1300"/>
        <w:gridCol w:w="1212"/>
        <w:gridCol w:w="1124"/>
        <w:gridCol w:w="1098"/>
        <w:gridCol w:w="1098"/>
        <w:gridCol w:w="1226"/>
        <w:gridCol w:w="987"/>
        <w:gridCol w:w="12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jc w:val="center"/>
        </w:trPr>
        <w:tc>
          <w:tcPr>
            <w:tcW w:w="460"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施药时期</w:t>
            </w:r>
          </w:p>
        </w:tc>
        <w:tc>
          <w:tcPr>
            <w:tcW w:w="255"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处理</w:t>
            </w:r>
          </w:p>
        </w:tc>
        <w:tc>
          <w:tcPr>
            <w:tcW w:w="395"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基本苗</w:t>
            </w:r>
          </w:p>
        </w:tc>
        <w:tc>
          <w:tcPr>
            <w:tcW w:w="303"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株高</w:t>
            </w:r>
          </w:p>
        </w:tc>
        <w:tc>
          <w:tcPr>
            <w:tcW w:w="324"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分枝数</w:t>
            </w:r>
          </w:p>
        </w:tc>
        <w:tc>
          <w:tcPr>
            <w:tcW w:w="458"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主茎节数</w:t>
            </w:r>
          </w:p>
        </w:tc>
        <w:tc>
          <w:tcPr>
            <w:tcW w:w="427"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单株荚数</w:t>
            </w:r>
          </w:p>
        </w:tc>
        <w:tc>
          <w:tcPr>
            <w:tcW w:w="396"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有效荚数</w:t>
            </w:r>
          </w:p>
        </w:tc>
        <w:tc>
          <w:tcPr>
            <w:tcW w:w="387"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每荚粒数</w:t>
            </w:r>
          </w:p>
        </w:tc>
        <w:tc>
          <w:tcPr>
            <w:tcW w:w="387"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单株粒数</w:t>
            </w:r>
          </w:p>
        </w:tc>
        <w:tc>
          <w:tcPr>
            <w:tcW w:w="432"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收获株数</w:t>
            </w:r>
          </w:p>
        </w:tc>
        <w:tc>
          <w:tcPr>
            <w:tcW w:w="348"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百粒重</w:t>
            </w:r>
          </w:p>
        </w:tc>
        <w:tc>
          <w:tcPr>
            <w:tcW w:w="423" w:type="pct"/>
          </w:tcPr>
          <w:p>
            <w:pPr>
              <w:rPr>
                <w:rFonts w:ascii="仿宋_GB2312" w:hAnsi="仿宋_GB2312" w:eastAsia="仿宋_GB2312" w:cs="仿宋_GB2312"/>
                <w:b/>
                <w:bCs/>
                <w:color w:val="000000" w:themeColor="text1"/>
                <w:sz w:val="18"/>
                <w:szCs w:val="18"/>
                <w14:textFill>
                  <w14:solidFill>
                    <w14:schemeClr w14:val="tx1"/>
                  </w14:solidFill>
                </w14:textFill>
              </w:rPr>
            </w:pPr>
            <w:r>
              <w:rPr>
                <w:rFonts w:hint="eastAsia" w:ascii="仿宋_GB2312" w:hAnsi="仿宋_GB2312" w:eastAsia="仿宋_GB2312" w:cs="仿宋_GB2312"/>
                <w:b/>
                <w:bCs/>
                <w:color w:val="000000" w:themeColor="text1"/>
                <w:sz w:val="18"/>
                <w:szCs w:val="18"/>
                <w14:textFill>
                  <w14:solidFill>
                    <w14:schemeClr w14:val="tx1"/>
                  </w14:solidFill>
                </w14:textFill>
              </w:rPr>
              <w:t>亩实产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restart"/>
          </w:tcPr>
          <w:p>
            <w:pP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1组：分枝期、始花期、盛花期</w:t>
            </w: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A</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9044.8</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97.9</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0.6</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15.3</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19.5</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18.7</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44.13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8889.3</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21.8</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59.4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B</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7755.9</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102.2</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1.13</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16.1</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26.1</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25.5</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62.8</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7293.8</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22.9</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7222.6</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90.4</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14.3</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27.3</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26.4</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2.40</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63.4</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7065.9</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21.1</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D</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8133.7</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81.6</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0.67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13.3</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33.1</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32.3</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2.44</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78.8</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7863.6</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22.3</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平均</w:t>
            </w:r>
          </w:p>
        </w:tc>
        <w:tc>
          <w:tcPr>
            <w:tcW w:w="1121"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8039.3</w:t>
            </w:r>
          </w:p>
        </w:tc>
        <w:tc>
          <w:tcPr>
            <w:tcW w:w="860"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93.0</w:t>
            </w:r>
          </w:p>
        </w:tc>
        <w:tc>
          <w:tcPr>
            <w:tcW w:w="919"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0.9</w:t>
            </w:r>
          </w:p>
        </w:tc>
        <w:tc>
          <w:tcPr>
            <w:tcW w:w="1300"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14.8</w:t>
            </w:r>
          </w:p>
        </w:tc>
        <w:tc>
          <w:tcPr>
            <w:tcW w:w="1212"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26.5</w:t>
            </w:r>
          </w:p>
        </w:tc>
        <w:tc>
          <w:tcPr>
            <w:tcW w:w="1124"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25.7</w:t>
            </w:r>
          </w:p>
        </w:tc>
        <w:tc>
          <w:tcPr>
            <w:tcW w:w="1098"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2.4</w:t>
            </w:r>
          </w:p>
        </w:tc>
        <w:tc>
          <w:tcPr>
            <w:tcW w:w="1098"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62.3</w:t>
            </w:r>
          </w:p>
        </w:tc>
        <w:tc>
          <w:tcPr>
            <w:tcW w:w="1226"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7778.2</w:t>
            </w:r>
          </w:p>
        </w:tc>
        <w:tc>
          <w:tcPr>
            <w:tcW w:w="987"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22.0</w:t>
            </w:r>
          </w:p>
        </w:tc>
        <w:tc>
          <w:tcPr>
            <w:tcW w:w="1200" w:type="dxa"/>
            <w:vAlign w:val="center"/>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CK</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8089.3</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100.5</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0.4</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14.5</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33.8</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33.2</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2.40</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79.93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7521.7</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20.7</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restart"/>
          </w:tcPr>
          <w:p>
            <w:pP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2组：分枝期、始花期</w:t>
            </w: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A</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8144.8</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100.5</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0.93</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16</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20.7</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19.5</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2.21</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43.13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7977.6</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22.8</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B</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8044.8</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101.5</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0.47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14.3</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23.9</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22.3</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2.28</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50.67</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7863.6</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20.2</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7711.5</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89.2</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0.8</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13.4</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24.9</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24.7</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2.50</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61.9</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6837.9</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22.8</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D</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7639.3</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88.8</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1.2</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14.3</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31.5</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31.3</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74.07</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7407.8</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22.8</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平均</w:t>
            </w:r>
          </w:p>
        </w:tc>
        <w:tc>
          <w:tcPr>
            <w:tcW w:w="1121"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7885.1</w:t>
            </w:r>
          </w:p>
        </w:tc>
        <w:tc>
          <w:tcPr>
            <w:tcW w:w="86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95.0</w:t>
            </w:r>
          </w:p>
        </w:tc>
        <w:tc>
          <w:tcPr>
            <w:tcW w:w="919"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0.9</w:t>
            </w:r>
          </w:p>
        </w:tc>
        <w:tc>
          <w:tcPr>
            <w:tcW w:w="130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14.5</w:t>
            </w:r>
          </w:p>
        </w:tc>
        <w:tc>
          <w:tcPr>
            <w:tcW w:w="1212"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25.3</w:t>
            </w:r>
          </w:p>
        </w:tc>
        <w:tc>
          <w:tcPr>
            <w:tcW w:w="1124"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24.5</w:t>
            </w:r>
          </w:p>
        </w:tc>
        <w:tc>
          <w:tcPr>
            <w:tcW w:w="1098"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2.3</w:t>
            </w:r>
          </w:p>
        </w:tc>
        <w:tc>
          <w:tcPr>
            <w:tcW w:w="1098"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57.4</w:t>
            </w:r>
          </w:p>
        </w:tc>
        <w:tc>
          <w:tcPr>
            <w:tcW w:w="1226"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7521.7</w:t>
            </w:r>
          </w:p>
        </w:tc>
        <w:tc>
          <w:tcPr>
            <w:tcW w:w="987"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22.2</w:t>
            </w:r>
          </w:p>
        </w:tc>
        <w:tc>
          <w:tcPr>
            <w:tcW w:w="120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CK</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9485.4</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104.7</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0.87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15.6</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23.7</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2.62</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57.73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9231.2</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21.1</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restart"/>
          </w:tcPr>
          <w:p>
            <w:pP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3组：分枝期、盛花期</w:t>
            </w: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A</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7155.9</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97</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0.4</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13.7</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30.9</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29.6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69.73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6837.9</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21.5</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B</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8544.9</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99.8</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0.47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12.9</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25.2</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24.5</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2.34</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57.5</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8433.5</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22.4</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6889.2</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88.6</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0.6</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14.6</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32.2</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30.9</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76.2</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6418.1</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21.3</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D</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8603.7</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93.3</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1.13</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16.3</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28.3</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27.7</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2.51</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69.33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8433.5</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22.4</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平均</w:t>
            </w:r>
          </w:p>
        </w:tc>
        <w:tc>
          <w:tcPr>
            <w:tcW w:w="1121"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7798.4</w:t>
            </w:r>
          </w:p>
        </w:tc>
        <w:tc>
          <w:tcPr>
            <w:tcW w:w="86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94.7</w:t>
            </w:r>
          </w:p>
        </w:tc>
        <w:tc>
          <w:tcPr>
            <w:tcW w:w="919"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0.7</w:t>
            </w:r>
          </w:p>
        </w:tc>
        <w:tc>
          <w:tcPr>
            <w:tcW w:w="130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14.4</w:t>
            </w:r>
          </w:p>
        </w:tc>
        <w:tc>
          <w:tcPr>
            <w:tcW w:w="1212"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29.2</w:t>
            </w:r>
          </w:p>
        </w:tc>
        <w:tc>
          <w:tcPr>
            <w:tcW w:w="1124"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28.2</w:t>
            </w:r>
          </w:p>
        </w:tc>
        <w:tc>
          <w:tcPr>
            <w:tcW w:w="1098"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2.4</w:t>
            </w:r>
          </w:p>
        </w:tc>
        <w:tc>
          <w:tcPr>
            <w:tcW w:w="1098"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68.2</w:t>
            </w:r>
          </w:p>
        </w:tc>
        <w:tc>
          <w:tcPr>
            <w:tcW w:w="1226"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7530.8</w:t>
            </w:r>
          </w:p>
        </w:tc>
        <w:tc>
          <w:tcPr>
            <w:tcW w:w="987"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21.9</w:t>
            </w:r>
          </w:p>
        </w:tc>
        <w:tc>
          <w:tcPr>
            <w:tcW w:w="120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CK</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8459.4</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99.7</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0.67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14.4</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23.9</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23.3</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2.39</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55.67</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8319.5</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22.6</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restart"/>
          </w:tcPr>
          <w:p>
            <w:pPr>
              <w:rPr>
                <w:rFonts w:ascii="仿宋_GB2312" w:hAnsi="仿宋_GB2312" w:eastAsia="仿宋_GB2312" w:cs="仿宋_GB2312"/>
                <w:color w:val="000000" w:themeColor="text1"/>
                <w:sz w:val="18"/>
                <w:szCs w:val="18"/>
                <w14:textFill>
                  <w14:solidFill>
                    <w14:schemeClr w14:val="tx1"/>
                  </w14:solidFill>
                </w14:textFill>
              </w:rPr>
            </w:pPr>
            <w:r>
              <w:rPr>
                <w:rFonts w:hint="eastAsia" w:ascii="仿宋_GB2312" w:hAnsi="仿宋_GB2312" w:eastAsia="仿宋_GB2312" w:cs="仿宋_GB2312"/>
                <w:color w:val="000000" w:themeColor="text1"/>
                <w:sz w:val="18"/>
                <w:szCs w:val="18"/>
                <w14:textFill>
                  <w14:solidFill>
                    <w14:schemeClr w14:val="tx1"/>
                  </w14:solidFill>
                </w14:textFill>
              </w:rPr>
              <w:t>4组：始花期、盛花期</w:t>
            </w: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A</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6933.7</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92.7</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0.13</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14.3</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27.9</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26.3</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2.43</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63.9</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6837.9</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21.8</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B</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7355.9</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89.5</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0.87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32.3</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31.2</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2.48</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77.5</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6951.9</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21.1</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8995.9</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90.7</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1.3</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14.5</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25.2</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24.3</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2.41</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58.53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8889.3</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21.3</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3" w:hRule="exac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D</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8244.8</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90.9</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0.87</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15.1</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24.8</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2.17</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48.93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8091.6</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22.0</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73.1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hint="eastAsia" w:ascii="Times New Roman" w:hAnsi="Times New Roman" w:eastAsia="仿宋_GB2312" w:cs="Times New Roman"/>
                <w:color w:val="000000" w:themeColor="text1"/>
                <w:sz w:val="18"/>
                <w:szCs w:val="18"/>
                <w14:textFill>
                  <w14:solidFill>
                    <w14:schemeClr w14:val="tx1"/>
                  </w14:solidFill>
                </w14:textFill>
              </w:rPr>
              <w:t>平均</w:t>
            </w:r>
          </w:p>
        </w:tc>
        <w:tc>
          <w:tcPr>
            <w:tcW w:w="1121"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7882.6</w:t>
            </w:r>
          </w:p>
        </w:tc>
        <w:tc>
          <w:tcPr>
            <w:tcW w:w="86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91.0</w:t>
            </w:r>
          </w:p>
        </w:tc>
        <w:tc>
          <w:tcPr>
            <w:tcW w:w="919"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0.8</w:t>
            </w:r>
          </w:p>
        </w:tc>
        <w:tc>
          <w:tcPr>
            <w:tcW w:w="130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14.5</w:t>
            </w:r>
          </w:p>
        </w:tc>
        <w:tc>
          <w:tcPr>
            <w:tcW w:w="1212"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27.6</w:t>
            </w:r>
          </w:p>
        </w:tc>
        <w:tc>
          <w:tcPr>
            <w:tcW w:w="1124"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26.1</w:t>
            </w:r>
          </w:p>
        </w:tc>
        <w:tc>
          <w:tcPr>
            <w:tcW w:w="1098"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2.4</w:t>
            </w:r>
          </w:p>
        </w:tc>
        <w:tc>
          <w:tcPr>
            <w:tcW w:w="1098"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62.2</w:t>
            </w:r>
          </w:p>
        </w:tc>
        <w:tc>
          <w:tcPr>
            <w:tcW w:w="1226"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7692.7</w:t>
            </w:r>
          </w:p>
        </w:tc>
        <w:tc>
          <w:tcPr>
            <w:tcW w:w="987"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21.6</w:t>
            </w:r>
          </w:p>
        </w:tc>
        <w:tc>
          <w:tcPr>
            <w:tcW w:w="1200" w:type="dxa"/>
            <w:vAlign w:val="center"/>
          </w:tcPr>
          <w:p>
            <w:pPr>
              <w:widowControl/>
              <w:jc w:val="center"/>
              <w:textAlignment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宋体" w:cs="Times New Roman"/>
                <w:color w:val="000000"/>
                <w:kern w:val="0"/>
                <w:sz w:val="18"/>
                <w:szCs w:val="18"/>
                <w:lang w:bidi="ar"/>
              </w:rPr>
              <w:t>79.1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 w:hRule="atLeast"/>
          <w:jc w:val="center"/>
        </w:trPr>
        <w:tc>
          <w:tcPr>
            <w:tcW w:w="460" w:type="pct"/>
            <w:vMerge w:val="continue"/>
          </w:tcPr>
          <w:p>
            <w:pPr>
              <w:rPr>
                <w:rFonts w:ascii="仿宋_GB2312" w:hAnsi="仿宋_GB2312" w:eastAsia="仿宋_GB2312" w:cs="仿宋_GB2312"/>
                <w:color w:val="000000" w:themeColor="text1"/>
                <w:sz w:val="18"/>
                <w:szCs w:val="18"/>
                <w14:textFill>
                  <w14:solidFill>
                    <w14:schemeClr w14:val="tx1"/>
                  </w14:solidFill>
                </w14:textFill>
              </w:rPr>
            </w:pPr>
          </w:p>
        </w:tc>
        <w:tc>
          <w:tcPr>
            <w:tcW w:w="25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CK</w:t>
            </w:r>
          </w:p>
        </w:tc>
        <w:tc>
          <w:tcPr>
            <w:tcW w:w="395"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6844.8</w:t>
            </w:r>
          </w:p>
        </w:tc>
        <w:tc>
          <w:tcPr>
            <w:tcW w:w="30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95.2</w:t>
            </w:r>
          </w:p>
        </w:tc>
        <w:tc>
          <w:tcPr>
            <w:tcW w:w="324"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0.93</w:t>
            </w:r>
          </w:p>
        </w:tc>
        <w:tc>
          <w:tcPr>
            <w:tcW w:w="45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14.4</w:t>
            </w:r>
          </w:p>
        </w:tc>
        <w:tc>
          <w:tcPr>
            <w:tcW w:w="42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33.1</w:t>
            </w:r>
          </w:p>
        </w:tc>
        <w:tc>
          <w:tcPr>
            <w:tcW w:w="396"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31.6</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2.55</w:t>
            </w:r>
          </w:p>
        </w:tc>
        <w:tc>
          <w:tcPr>
            <w:tcW w:w="387"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80.73</w:t>
            </w:r>
          </w:p>
        </w:tc>
        <w:tc>
          <w:tcPr>
            <w:tcW w:w="432"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6496.1</w:t>
            </w:r>
          </w:p>
        </w:tc>
        <w:tc>
          <w:tcPr>
            <w:tcW w:w="348"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22.5</w:t>
            </w:r>
          </w:p>
        </w:tc>
        <w:tc>
          <w:tcPr>
            <w:tcW w:w="423" w:type="pct"/>
          </w:tcPr>
          <w:p>
            <w:pPr>
              <w:jc w:val="center"/>
              <w:rPr>
                <w:rFonts w:ascii="Times New Roman" w:hAnsi="Times New Roman" w:eastAsia="仿宋_GB2312" w:cs="Times New Roman"/>
                <w:color w:val="000000" w:themeColor="text1"/>
                <w:sz w:val="18"/>
                <w:szCs w:val="18"/>
                <w14:textFill>
                  <w14:solidFill>
                    <w14:schemeClr w14:val="tx1"/>
                  </w14:solidFill>
                </w14:textFill>
              </w:rPr>
            </w:pPr>
            <w:r>
              <w:rPr>
                <w:rFonts w:ascii="Times New Roman" w:hAnsi="Times New Roman" w:eastAsia="仿宋_GB2312" w:cs="Times New Roman"/>
                <w:color w:val="000000" w:themeColor="text1"/>
                <w:sz w:val="18"/>
                <w:szCs w:val="18"/>
                <w14:textFill>
                  <w14:solidFill>
                    <w14:schemeClr w14:val="tx1"/>
                  </w14:solidFill>
                </w14:textFill>
              </w:rPr>
              <w:t>85.7</w:t>
            </w:r>
          </w:p>
        </w:tc>
      </w:tr>
    </w:tbl>
    <w:p>
      <w:pPr>
        <w:jc w:val="center"/>
        <w:rPr>
          <w:rFonts w:ascii="宋体" w:hAnsi="宋体" w:eastAsia="宋体" w:cs="宋体"/>
          <w:b/>
          <w:bCs/>
          <w:sz w:val="24"/>
        </w:rPr>
      </w:pPr>
    </w:p>
    <w:p>
      <w:pPr>
        <w:rPr>
          <w:rFonts w:ascii="仿宋_GB2312" w:hAnsi="宋体" w:eastAsia="仿宋_GB2312"/>
          <w:sz w:val="32"/>
          <w:szCs w:val="32"/>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六、重大意见分歧的处理依据</w:t>
      </w:r>
      <w:r>
        <w:rPr>
          <w:rFonts w:ascii="黑体" w:hAnsi="黑体" w:eastAsia="黑体" w:cs="黑体"/>
          <w:sz w:val="32"/>
          <w:szCs w:val="32"/>
        </w:rPr>
        <w:t>和结果</w:t>
      </w:r>
    </w:p>
    <w:p>
      <w:pPr>
        <w:pStyle w:val="13"/>
        <w:spacing w:line="560" w:lineRule="exact"/>
        <w:ind w:firstLine="640" w:firstLineChars="200"/>
        <w:rPr>
          <w:rFonts w:ascii="黑体" w:hAnsi="黑体" w:eastAsia="黑体" w:cs="黑体"/>
          <w:sz w:val="32"/>
          <w:szCs w:val="32"/>
        </w:rPr>
      </w:pPr>
      <w:r>
        <w:rPr>
          <w:rFonts w:hint="eastAsia" w:ascii="Times New Roman" w:hAnsi="Times New Roman" w:eastAsia="仿宋_GB2312" w:cs="仿宋_GB2312"/>
          <w:sz w:val="32"/>
          <w:szCs w:val="32"/>
        </w:rPr>
        <w:t>本标准在起草、项目组内专家讨论、项目组外专家征求意见及试验验证过程中，均未发现任何影响标准制定的重大意见分歧。</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七、实施</w:t>
      </w:r>
      <w:r>
        <w:rPr>
          <w:rFonts w:ascii="黑体" w:hAnsi="黑体" w:eastAsia="黑体" w:cs="黑体"/>
          <w:sz w:val="32"/>
          <w:szCs w:val="32"/>
        </w:rPr>
        <w:t>标准的措施及建议</w:t>
      </w:r>
    </w:p>
    <w:p>
      <w:pPr>
        <w:pStyle w:val="6"/>
        <w:spacing w:after="0" w:line="480" w:lineRule="exact"/>
        <w:ind w:left="0" w:leftChars="0" w:right="0" w:rightChars="0" w:firstLine="640" w:firstLineChars="200"/>
        <w:rPr>
          <w:rFonts w:ascii="黑体" w:hAnsi="黑体" w:eastAsia="黑体" w:cs="黑体"/>
          <w:sz w:val="32"/>
          <w:szCs w:val="32"/>
        </w:rPr>
      </w:pPr>
      <w:r>
        <w:rPr>
          <w:rFonts w:hint="eastAsia" w:ascii="仿宋_GB2312" w:hAnsi="仿宋_GB2312" w:eastAsia="仿宋_GB2312" w:cs="仿宋_GB2312"/>
          <w:sz w:val="32"/>
          <w:szCs w:val="32"/>
        </w:rPr>
        <w:t>本标准可操作性强，产业部门应加大宣传推广力度。建议本标准作为推荐性地方标准发布、实施。</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八、知识产权说明</w:t>
      </w:r>
    </w:p>
    <w:p>
      <w:pPr>
        <w:pStyle w:val="13"/>
        <w:spacing w:line="560" w:lineRule="exact"/>
        <w:ind w:firstLine="640" w:firstLineChars="200"/>
        <w:rPr>
          <w:rFonts w:ascii="黑体" w:hAnsi="黑体" w:eastAsia="黑体" w:cs="黑体"/>
          <w:sz w:val="32"/>
          <w:szCs w:val="32"/>
        </w:rPr>
      </w:pPr>
      <w:r>
        <w:rPr>
          <w:rFonts w:hint="eastAsia" w:ascii="Times New Roman" w:hAnsi="Times New Roman" w:eastAsia="仿宋_GB2312" w:cs="仿宋_GB2312"/>
          <w:sz w:val="32"/>
          <w:szCs w:val="32"/>
        </w:rPr>
        <w:t>不涉及相关组织的知识产权和专利。</w:t>
      </w:r>
    </w:p>
    <w:p>
      <w:p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九、其他应说明的事项</w:t>
      </w:r>
    </w:p>
    <w:p>
      <w:pPr>
        <w:spacing w:line="560" w:lineRule="exact"/>
        <w:ind w:firstLine="640" w:firstLineChars="200"/>
      </w:pPr>
      <w:r>
        <w:rPr>
          <w:rFonts w:hint="eastAsia" w:ascii="仿宋_GB2312" w:hAnsi="仿宋_GB2312" w:eastAsia="仿宋_GB2312" w:cs="仿宋_GB2312"/>
          <w:sz w:val="32"/>
          <w:szCs w:val="32"/>
        </w:rPr>
        <w:t>本标准未采用国际、国家、行业先进标准。如评审通过，建议有关部门尽快发布，成为指导宁夏大豆玉米带状复合种植病虫草害防控技术的依据。</w:t>
      </w: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Calibri Light">
    <w:panose1 w:val="020F0302020204030204"/>
    <w:charset w:val="00"/>
    <w:family w:val="swiss"/>
    <w:pitch w:val="default"/>
    <w:sig w:usb0="A00002EF" w:usb1="4000207B" w:usb2="00000000"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19</w:t>
                          </w:r>
                          <w:r>
                            <w:rPr>
                              <w:rFonts w:hint="eastAsia" w:ascii="宋体" w:hAnsi="宋体" w:eastAsia="宋体" w:cs="宋体"/>
                              <w:sz w:val="28"/>
                              <w:szCs w:val="28"/>
                            </w:rPr>
                            <w:fldChar w:fldCharType="end"/>
                          </w:r>
                        </w:p>
                        <w:p>
                          <w:pPr>
                            <w:pStyle w:val="7"/>
                          </w:pPr>
                        </w:p>
                      </w:txbxContent>
                    </wps:txbx>
                    <wps:bodyPr wrap="none" lIns="0" tIns="0" rIns="0" bIns="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3xvN98EBAACNAwAADgAAAAAAAAABACAAAAAeAQAAZHJzL2Uyb0RvYy54bWxQSwUG&#10;AAAAAAYABgBZAQAAUQU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19</w:t>
                    </w:r>
                    <w:r>
                      <w:rPr>
                        <w:rFonts w:hint="eastAsia" w:ascii="宋体" w:hAnsi="宋体" w:eastAsia="宋体" w:cs="宋体"/>
                        <w:sz w:val="28"/>
                        <w:szCs w:val="28"/>
                      </w:rPr>
                      <w:fldChar w:fldCharType="end"/>
                    </w:r>
                  </w:p>
                  <w:p>
                    <w:pPr>
                      <w:pStyle w:val="7"/>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711CCB"/>
    <w:multiLevelType w:val="singleLevel"/>
    <w:tmpl w:val="72711CC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3ODA3YThlOWZjZWY2Y2YwMmZmMmUyMzFkNmRlYWYifQ=="/>
  </w:docVars>
  <w:rsids>
    <w:rsidRoot w:val="235F70F3"/>
    <w:rsid w:val="00090A5F"/>
    <w:rsid w:val="00264656"/>
    <w:rsid w:val="00296307"/>
    <w:rsid w:val="008A1BF4"/>
    <w:rsid w:val="00965D3F"/>
    <w:rsid w:val="00A268E2"/>
    <w:rsid w:val="00B65E07"/>
    <w:rsid w:val="00BA7F69"/>
    <w:rsid w:val="00CF6623"/>
    <w:rsid w:val="00DC2D54"/>
    <w:rsid w:val="00E63203"/>
    <w:rsid w:val="00F31846"/>
    <w:rsid w:val="00FB7AD9"/>
    <w:rsid w:val="07B3716C"/>
    <w:rsid w:val="08AE1E19"/>
    <w:rsid w:val="08B35053"/>
    <w:rsid w:val="09594A54"/>
    <w:rsid w:val="09D970F5"/>
    <w:rsid w:val="0CAA6E21"/>
    <w:rsid w:val="0F7C0F5A"/>
    <w:rsid w:val="10244CFD"/>
    <w:rsid w:val="1115192D"/>
    <w:rsid w:val="146849E3"/>
    <w:rsid w:val="14ED10E0"/>
    <w:rsid w:val="17045380"/>
    <w:rsid w:val="1A7A6A40"/>
    <w:rsid w:val="1B2F3A7B"/>
    <w:rsid w:val="1BD976DC"/>
    <w:rsid w:val="1CA31A0E"/>
    <w:rsid w:val="1CB6782D"/>
    <w:rsid w:val="1DF868D1"/>
    <w:rsid w:val="23185BB3"/>
    <w:rsid w:val="235F70F3"/>
    <w:rsid w:val="25547D8D"/>
    <w:rsid w:val="2563719E"/>
    <w:rsid w:val="25DE0E1B"/>
    <w:rsid w:val="266618A2"/>
    <w:rsid w:val="28713F1D"/>
    <w:rsid w:val="2BA90DCA"/>
    <w:rsid w:val="2C2D12C1"/>
    <w:rsid w:val="335279C9"/>
    <w:rsid w:val="348778C5"/>
    <w:rsid w:val="359A3740"/>
    <w:rsid w:val="359D0C08"/>
    <w:rsid w:val="35E12C8E"/>
    <w:rsid w:val="361418A2"/>
    <w:rsid w:val="3659703F"/>
    <w:rsid w:val="37DF3C3F"/>
    <w:rsid w:val="38527D74"/>
    <w:rsid w:val="39812D5D"/>
    <w:rsid w:val="3B463E3B"/>
    <w:rsid w:val="3D196E44"/>
    <w:rsid w:val="3D3F568C"/>
    <w:rsid w:val="3FBC437D"/>
    <w:rsid w:val="440D0C33"/>
    <w:rsid w:val="453056D6"/>
    <w:rsid w:val="487B6B92"/>
    <w:rsid w:val="496E58E1"/>
    <w:rsid w:val="4AF24698"/>
    <w:rsid w:val="4B1E2F91"/>
    <w:rsid w:val="4BFC604B"/>
    <w:rsid w:val="4D8F590F"/>
    <w:rsid w:val="50D94783"/>
    <w:rsid w:val="5138219C"/>
    <w:rsid w:val="51A72505"/>
    <w:rsid w:val="529219E8"/>
    <w:rsid w:val="52AD5988"/>
    <w:rsid w:val="538E0299"/>
    <w:rsid w:val="546B2690"/>
    <w:rsid w:val="5C2464D4"/>
    <w:rsid w:val="5CDFBC59"/>
    <w:rsid w:val="5F6C0594"/>
    <w:rsid w:val="644E0C69"/>
    <w:rsid w:val="654F790E"/>
    <w:rsid w:val="67A14F5C"/>
    <w:rsid w:val="68F55EA4"/>
    <w:rsid w:val="6E4965FC"/>
    <w:rsid w:val="6EA058B4"/>
    <w:rsid w:val="70950D48"/>
    <w:rsid w:val="70E52B13"/>
    <w:rsid w:val="72061518"/>
    <w:rsid w:val="73FA183E"/>
    <w:rsid w:val="75C872CE"/>
    <w:rsid w:val="7771A049"/>
    <w:rsid w:val="7BFA3698"/>
    <w:rsid w:val="7D16268A"/>
    <w:rsid w:val="7FF42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Lines="200" w:afterLines="100" w:line="600" w:lineRule="exact"/>
      <w:jc w:val="center"/>
      <w:outlineLvl w:val="0"/>
    </w:pPr>
    <w:rPr>
      <w:rFonts w:ascii="Calibri" w:hAnsi="Calibri" w:eastAsia="方正小标宋简体" w:cs="Times New Roman"/>
      <w:kern w:val="44"/>
      <w:sz w:val="44"/>
    </w:rPr>
  </w:style>
  <w:style w:type="paragraph" w:styleId="5">
    <w:name w:val="heading 2"/>
    <w:basedOn w:val="1"/>
    <w:next w:val="1"/>
    <w:unhideWhenUsed/>
    <w:qFormat/>
    <w:uiPriority w:val="0"/>
    <w:pPr>
      <w:spacing w:before="100" w:beforeAutospacing="1" w:after="100" w:afterAutospacing="1"/>
      <w:jc w:val="left"/>
      <w:outlineLvl w:val="1"/>
    </w:pPr>
    <w:rPr>
      <w:rFonts w:hint="eastAsia" w:ascii="宋体" w:hAnsi="宋体" w:eastAsia="宋体" w:cs="Times New Roman"/>
      <w:b/>
      <w:kern w:val="0"/>
      <w:sz w:val="36"/>
      <w:szCs w:val="3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0"/>
    <w:pPr>
      <w:autoSpaceDE w:val="0"/>
      <w:autoSpaceDN w:val="0"/>
      <w:ind w:firstLine="420" w:firstLineChars="200"/>
      <w:jc w:val="left"/>
    </w:pPr>
    <w:rPr>
      <w:rFonts w:ascii="宋体" w:hAnsi="宋体" w:cs="宋体"/>
      <w:kern w:val="0"/>
      <w:sz w:val="22"/>
      <w:szCs w:val="22"/>
      <w:lang w:val="zh-CN" w:bidi="zh-CN"/>
    </w:rPr>
  </w:style>
  <w:style w:type="paragraph" w:styleId="3">
    <w:name w:val="Body Text Indent"/>
    <w:basedOn w:val="1"/>
    <w:qFormat/>
    <w:uiPriority w:val="0"/>
    <w:pPr>
      <w:spacing w:after="120"/>
      <w:ind w:left="420" w:leftChars="200"/>
    </w:pPr>
  </w:style>
  <w:style w:type="paragraph" w:styleId="6">
    <w:name w:val="Block Text"/>
    <w:basedOn w:val="1"/>
    <w:qFormat/>
    <w:uiPriority w:val="0"/>
    <w:pPr>
      <w:spacing w:after="120"/>
      <w:ind w:left="1440" w:leftChars="700" w:right="700" w:rightChars="700"/>
    </w:pPr>
    <w:rPr>
      <w:rFonts w:ascii="Calibri" w:hAnsi="Calibri"/>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next w:val="1"/>
    <w:qFormat/>
    <w:uiPriority w:val="0"/>
    <w:pPr>
      <w:spacing w:before="240" w:after="60"/>
      <w:jc w:val="center"/>
      <w:outlineLvl w:val="0"/>
    </w:pPr>
    <w:rPr>
      <w:rFonts w:asciiTheme="majorHAnsi" w:hAnsiTheme="majorHAnsi" w:eastAsiaTheme="majorEastAsia" w:cstheme="majorBidi"/>
      <w:b/>
      <w:bCs/>
      <w:sz w:val="32"/>
      <w:szCs w:val="3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p0"/>
    <w:basedOn w:val="1"/>
    <w:qFormat/>
    <w:uiPriority w:val="0"/>
    <w:pPr>
      <w:widowControl/>
    </w:pPr>
    <w:rPr>
      <w:kern w:val="0"/>
      <w:szCs w:val="21"/>
    </w:rPr>
  </w:style>
  <w:style w:type="character" w:customStyle="1" w:styleId="14">
    <w:name w:val="font81"/>
    <w:basedOn w:val="12"/>
    <w:qFormat/>
    <w:uiPriority w:val="0"/>
    <w:rPr>
      <w:rFonts w:hint="eastAsia" w:ascii="宋体" w:hAnsi="宋体" w:eastAsia="宋体" w:cs="宋体"/>
      <w:b/>
      <w:bCs/>
      <w:color w:val="000000"/>
      <w:sz w:val="24"/>
      <w:szCs w:val="24"/>
      <w:u w:val="none"/>
      <w:vertAlign w:val="superscript"/>
    </w:rPr>
  </w:style>
  <w:style w:type="character" w:customStyle="1" w:styleId="15">
    <w:name w:val="font91"/>
    <w:basedOn w:val="12"/>
    <w:qFormat/>
    <w:uiPriority w:val="0"/>
    <w:rPr>
      <w:rFonts w:hint="eastAsia" w:ascii="宋体" w:hAnsi="宋体" w:eastAsia="宋体" w:cs="宋体"/>
      <w:color w:val="000000"/>
      <w:sz w:val="22"/>
      <w:szCs w:val="22"/>
      <w:u w:val="none"/>
      <w:vertAlign w:val="superscript"/>
    </w:rPr>
  </w:style>
  <w:style w:type="paragraph" w:styleId="16">
    <w:name w:val="List Paragraph"/>
    <w:basedOn w:val="1"/>
    <w:qFormat/>
    <w:uiPriority w:val="34"/>
    <w:pPr>
      <w:ind w:firstLine="420" w:firstLineChars="200"/>
    </w:pPr>
  </w:style>
  <w:style w:type="table" w:customStyle="1" w:styleId="17">
    <w:name w:val="网格型1"/>
    <w:basedOn w:val="10"/>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
    <w:name w:val="网格型4"/>
    <w:basedOn w:val="10"/>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
    <w:name w:val="网格型3"/>
    <w:basedOn w:val="10"/>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
    <w:name w:val="网格型5"/>
    <w:basedOn w:val="10"/>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
    <w:name w:val="网格型6"/>
    <w:basedOn w:val="10"/>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
    <w:name w:val="标准文件_段 Char"/>
    <w:link w:val="23"/>
    <w:qFormat/>
    <w:locked/>
    <w:uiPriority w:val="0"/>
    <w:rPr>
      <w:rFonts w:ascii="宋体" w:hAnsi="宋体" w:eastAsia="宋体"/>
      <w:sz w:val="21"/>
    </w:rPr>
  </w:style>
  <w:style w:type="paragraph" w:customStyle="1" w:styleId="23">
    <w:name w:val="标准文件_段"/>
    <w:link w:val="22"/>
    <w:qFormat/>
    <w:uiPriority w:val="0"/>
    <w:pPr>
      <w:autoSpaceDE w:val="0"/>
      <w:autoSpaceDN w:val="0"/>
      <w:ind w:firstLine="198"/>
      <w:jc w:val="both"/>
    </w:pPr>
    <w:rPr>
      <w:rFonts w:ascii="宋体" w:hAnsi="宋体" w:eastAsia="宋体" w:cstheme="minorBidi"/>
      <w:sz w:val="21"/>
      <w:lang w:val="en-US" w:eastAsia="zh-CN" w:bidi="ar-SA"/>
    </w:rPr>
  </w:style>
  <w:style w:type="paragraph" w:customStyle="1" w:styleId="24">
    <w:name w:val="Table Paragraph"/>
    <w:basedOn w:val="1"/>
    <w:qFormat/>
    <w:uiPriority w:val="1"/>
    <w:pPr>
      <w:autoSpaceDE w:val="0"/>
      <w:autoSpaceDN w:val="0"/>
      <w:jc w:val="center"/>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26</Pages>
  <Words>10731</Words>
  <Characters>7557</Characters>
  <Lines>62</Lines>
  <Paragraphs>36</Paragraphs>
  <TotalTime>42</TotalTime>
  <ScaleCrop>false</ScaleCrop>
  <LinksUpToDate>false</LinksUpToDate>
  <CharactersWithSpaces>18252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2024-12-08T10:28:00Z</dcterms:created>
  <dc:creator>张建光</dc:creator>
  <cp:lastModifiedBy>Administrator</cp:lastModifiedBy>
  <cp:lastPrinted>2024-03-21T17:16:00Z</cp:lastPrinted>
  <dcterms:modified xsi:type="dcterms:W3CDTF">2026-01-15T01:53:02Z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6EE9364723484916A49D1F0C884B1251</vt:lpwstr>
  </property>
</Properties>
</file>