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b w:val="0"/>
          <w:bCs w:val="0"/>
          <w:sz w:val="44"/>
          <w:szCs w:val="44"/>
        </w:rPr>
      </w:pPr>
    </w:p>
    <w:p>
      <w:pPr>
        <w:jc w:val="center"/>
        <w:rPr>
          <w:rFonts w:hint="eastAsia" w:ascii="方正公文小标宋" w:hAnsi="方正公文小标宋" w:eastAsia="方正公文小标宋" w:cs="方正公文小标宋"/>
          <w:b w:val="0"/>
          <w:bCs w:val="0"/>
          <w:sz w:val="44"/>
          <w:szCs w:val="44"/>
        </w:rPr>
      </w:pPr>
    </w:p>
    <w:p>
      <w:pPr>
        <w:jc w:val="center"/>
        <w:rPr>
          <w:rFonts w:hint="eastAsia" w:ascii="方正公文小标宋" w:hAnsi="方正公文小标宋" w:eastAsia="方正公文小标宋" w:cs="方正公文小标宋"/>
          <w:b w:val="0"/>
          <w:bCs w:val="0"/>
          <w:sz w:val="44"/>
          <w:szCs w:val="44"/>
        </w:rPr>
      </w:pPr>
    </w:p>
    <w:p>
      <w:pPr>
        <w:jc w:val="center"/>
        <w:rPr>
          <w:rFonts w:hint="eastAsia" w:ascii="方正公文小标宋" w:hAnsi="方正公文小标宋" w:eastAsia="方正公文小标宋" w:cs="方正公文小标宋"/>
          <w:b w:val="0"/>
          <w:bCs w:val="0"/>
          <w:sz w:val="44"/>
          <w:szCs w:val="44"/>
        </w:rPr>
      </w:pPr>
      <w:r>
        <w:rPr>
          <w:rFonts w:hint="eastAsia" w:ascii="方正公文小标宋" w:hAnsi="方正公文小标宋" w:eastAsia="方正公文小标宋" w:cs="方正公文小标宋"/>
          <w:b w:val="0"/>
          <w:bCs w:val="0"/>
          <w:sz w:val="44"/>
          <w:szCs w:val="44"/>
        </w:rPr>
        <w:t>《水稻旱直播轻简栽培技术规程》</w:t>
      </w:r>
    </w:p>
    <w:p>
      <w:pPr>
        <w:jc w:val="center"/>
        <w:rPr>
          <w:rFonts w:hint="eastAsia" w:ascii="方正公文小标宋" w:hAnsi="方正公文小标宋" w:eastAsia="方正公文小标宋" w:cs="方正公文小标宋"/>
          <w:b w:val="0"/>
          <w:bCs w:val="0"/>
          <w:sz w:val="44"/>
          <w:szCs w:val="44"/>
        </w:rPr>
      </w:pPr>
    </w:p>
    <w:p>
      <w:pPr>
        <w:jc w:val="center"/>
        <w:rPr>
          <w:rFonts w:hint="eastAsia" w:ascii="方正公文小标宋" w:hAnsi="方正公文小标宋" w:eastAsia="方正公文小标宋" w:cs="方正公文小标宋"/>
          <w:b w:val="0"/>
          <w:bCs w:val="0"/>
          <w:sz w:val="44"/>
          <w:szCs w:val="44"/>
        </w:rPr>
      </w:pPr>
    </w:p>
    <w:p>
      <w:pPr>
        <w:jc w:val="center"/>
        <w:rPr>
          <w:rFonts w:hint="eastAsia" w:ascii="方正公文小标宋" w:hAnsi="方正公文小标宋" w:eastAsia="方正公文小标宋" w:cs="方正公文小标宋"/>
          <w:b w:val="0"/>
          <w:bCs w:val="0"/>
          <w:sz w:val="44"/>
          <w:szCs w:val="44"/>
        </w:rPr>
      </w:pPr>
      <w:r>
        <w:rPr>
          <w:rFonts w:hint="eastAsia" w:ascii="方正公文小标宋" w:hAnsi="方正公文小标宋" w:eastAsia="方正公文小标宋" w:cs="方正公文小标宋"/>
          <w:b w:val="0"/>
          <w:bCs w:val="0"/>
          <w:sz w:val="44"/>
          <w:szCs w:val="44"/>
        </w:rPr>
        <w:t>编制说明</w:t>
      </w: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p>
    <w:p>
      <w:pPr>
        <w:rPr>
          <w:rFonts w:hint="eastAsia" w:ascii="仿宋_GB2312" w:hAnsi="仿宋_GB2312" w:eastAsia="仿宋_GB2312" w:cs="仿宋_GB2312"/>
          <w:sz w:val="32"/>
          <w:szCs w:val="32"/>
        </w:rPr>
      </w:pPr>
    </w:p>
    <w:p>
      <w:pPr>
        <w:jc w:val="center"/>
        <w:rPr>
          <w:rFonts w:hint="eastAsia" w:ascii="方正公文小标宋" w:hAnsi="方正公文小标宋" w:eastAsia="方正公文小标宋" w:cs="方正公文小标宋"/>
          <w:sz w:val="44"/>
          <w:szCs w:val="44"/>
        </w:rPr>
      </w:pPr>
    </w:p>
    <w:p>
      <w:pPr>
        <w:jc w:val="center"/>
        <w:rPr>
          <w:rFonts w:hint="eastAsia" w:ascii="方正公文小标宋" w:hAnsi="方正公文小标宋" w:eastAsia="方正公文小标宋" w:cs="方正公文小标宋"/>
          <w:sz w:val="44"/>
          <w:szCs w:val="44"/>
        </w:rPr>
      </w:pPr>
    </w:p>
    <w:p>
      <w:pPr>
        <w:jc w:val="center"/>
        <w:rPr>
          <w:rFonts w:hint="eastAsia" w:ascii="方正公文小标宋" w:hAnsi="方正公文小标宋" w:eastAsia="方正公文小标宋" w:cs="方正公文小标宋"/>
          <w:sz w:val="44"/>
          <w:szCs w:val="44"/>
        </w:rPr>
      </w:pPr>
    </w:p>
    <w:p>
      <w:pPr>
        <w:jc w:val="center"/>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rPr>
        <w:t>目</w:t>
      </w:r>
      <w:r>
        <w:rPr>
          <w:rFonts w:hint="eastAsia" w:ascii="方正公文小标宋" w:hAnsi="方正公文小标宋" w:eastAsia="方正公文小标宋" w:cs="方正公文小标宋"/>
          <w:sz w:val="44"/>
          <w:szCs w:val="44"/>
          <w:lang w:eastAsia="zh-CN"/>
        </w:rPr>
        <w:t>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一、工作简况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二、修订标准的必要性和意义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三、主要起草过程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四、制定标准的原则和依据，与现行</w:t>
      </w:r>
      <w:r>
        <w:rPr>
          <w:rFonts w:hint="eastAsia" w:ascii="仿宋_GB2312" w:hAnsi="仿宋_GB2312" w:eastAsia="仿宋_GB2312" w:cs="仿宋_GB2312"/>
          <w:sz w:val="32"/>
          <w:szCs w:val="32"/>
          <w:lang w:eastAsia="zh-CN"/>
        </w:rPr>
        <w:t>法律法规</w:t>
      </w:r>
      <w:r>
        <w:rPr>
          <w:rFonts w:hint="eastAsia" w:ascii="仿宋_GB2312" w:hAnsi="仿宋_GB2312" w:eastAsia="仿宋_GB2312" w:cs="仿宋_GB2312"/>
          <w:sz w:val="32"/>
          <w:szCs w:val="32"/>
        </w:rPr>
        <w:t>、标准的关系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五、主要条款的说明，主要技术指标、参数、实验验证的论述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六、重大意见分歧的处理依据和结果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七、实施标准的措施建议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八、知识产权说明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九、其他应予说明的事项</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《水稻旱直播轻简栽培技术规程》</w:t>
      </w:r>
    </w:p>
    <w:p>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编制说明</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一、工作简况</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（一）任务来源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区市场监管厅关于下达2025年宁夏地方标准制（修）订计划的通知》文件要求，《水稻旱直播轻简栽培技术规程》（DB64/T527-2008）被列为2025年地方标准修订计划项目。该标准由宁夏回族自治区农业农村厅提出、归口并组织实施。</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（二）起草单位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本标准项目主要承担单位：宁夏回族自治区农垦事业管理局农林牧技术推广服务中心、宁夏农垦灵武农场有限公司。</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（三）主要起草人及分工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马文礼：主要负责标准总体框架设计、核心技术内容审核。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陈永伟：负责标准技术条款论证、生产实践适用性把关。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解艳玲：承担技术指标数据整理、梳理汇总。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王昊：负责标准文本起草、标准格式规范。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张文斌：参与播前整地、播种技术等章节内容编写。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李安金：负责肥料运筹相关技术内容及参数验证。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马荣国：参与病虫害防治技术章节修订及资料收集。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张骞：负责秸秆处理技术部分编写与试验数据整理。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靳韦、杨波、李宗泽、徐灿、张敏、哈蓉、徐亚新、马志琪、何毅、兰珍珍：参与标准调研、意见征集及文本修改完善等工作。</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二、修订标准的必要性和意义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稻旱直播轻简栽培技术是宁夏引黄灌区水稻规模化种植的重要模式，具有省工、省力、节水等优势。原标准《水稻旱直播轻简栽培技术规程》（DB64/T527-2008）自2008年发布实施以来，已使用17年，标龄较长。随着农业现代化进程加快，当前水稻种植在秸秆资源化利用、肥料施用技术、机械化装备水平、病虫草害防控手段等方面发生了显著变化：一是秸秆还田技术已广泛应用，原标准未涉及相关技术要求；二是缓（控）释肥等新型肥料推广应用，需要明确其运筹方式；三是播种、收获等机械化装备升级，对作业质量指标提出新要求；四是病虫草害发生规律变化，原有防治药剂和方法已不能完全适应绿色防控需求；五是农产品质量安</w:t>
      </w:r>
      <w:bookmarkStart w:id="0" w:name="_GoBack"/>
      <w:bookmarkEnd w:id="0"/>
      <w:r>
        <w:rPr>
          <w:rFonts w:hint="eastAsia" w:ascii="仿宋_GB2312" w:hAnsi="仿宋_GB2312" w:eastAsia="仿宋_GB2312" w:cs="仿宋_GB2312"/>
          <w:sz w:val="32"/>
          <w:szCs w:val="32"/>
        </w:rPr>
        <w:t>全追溯要求提高，需要补充档案管理相关内容。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标准已无法满足当前水稻旱直播轻简栽培的生产实际需求，结合近年来的技术创新成果和生产实践经验，修订本标准，能够规范秸秆处理、缓（控）释肥施用、智能灌溉与绿色防控等集成技术的应用，进一步提升水稻旱直播栽培的标准化、规范化水平，降低劳动强度，提高生产效率和经济效益，对推动宁夏引黄灌区水稻产业高质量发展具有重要的指导和促进作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本标准修订过程中融入最新科技创新成果，优化关键技术指标和操作流程，确保标准的先进性、实用性和可操作性，可为宁夏引黄灌区水稻规模化、轻简化、绿色化生产提供技术支撑。</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三、主要起草过程</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（一）成立起草组、确定分工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地方标准修订任务下达后，宁夏回族自治区农垦事业管理局农林牧技术推广服务中心联合宁夏农垦灵武农场有限公司</w:t>
      </w:r>
      <w:r>
        <w:rPr>
          <w:rFonts w:hint="eastAsia" w:ascii="仿宋_GB2312" w:hAnsi="仿宋_GB2312" w:eastAsia="仿宋_GB2312" w:cs="仿宋_GB2312"/>
          <w:sz w:val="32"/>
          <w:szCs w:val="32"/>
          <w:lang w:eastAsia="zh-CN"/>
        </w:rPr>
        <w:t>、宁夏农垦前进农场有限公司、宁夏农垦暖泉农场有限公司</w:t>
      </w:r>
      <w:r>
        <w:rPr>
          <w:rFonts w:hint="eastAsia" w:ascii="仿宋_GB2312" w:hAnsi="仿宋_GB2312" w:eastAsia="仿宋_GB2312" w:cs="仿宋_GB2312"/>
          <w:sz w:val="32"/>
          <w:szCs w:val="32"/>
        </w:rPr>
        <w:t>成立标准修订起草组，明确各成员职责分工，制定工作方案，确定宁夏引黄灌区水稻主产区为核心调研区域，全面开展标准修订工作。</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（二）收集资料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至6月，起草组系统收集国内外水稻旱直播栽培相关的法律法规、政策文件、现行标准及研究文献，重点梳理秸秆还田、缓（控）释肥应用、机械化作业、绿色防控等方面的最新技术成果。同时，深入宁夏引黄灌区水稻主产区开展实地调研，了解生产实际中的技术需求和问题，总结基层生产单位的成功经验，为标准修订奠定坚实基础。</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（三）编制标准草案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7月至10月，起草组对收集的资料进行系统梳理、分析和整合，结合原标准执行过程中发现的问题，按照GB/T1.1-2020《标准化工作导则第1部分：标准化文件的结构和起草规则》要求，完成标准草案（工作组讨论稿）的编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年11</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组织区内水稻栽培、土壤肥料等领域专家召开研讨会，对草案进行论证，重点围绕适用范围、技术指标、操作流程等内容提出修改意见，起草组根据专家意见修改完善后，形成标准征求意见稿，并完成编制说明的编写。</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（四）征求意见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年12月，起草组向宁夏农业技术推广总站、宁夏农林科学院等单位和专家征求意见，共收集反馈意见18条，经梳理汇总，采纳15条，部分采纳2条，未采纳1条（已与提出单位沟通并说明理由）。</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年1月，在宁夏回族自治区市场监管厅官网上公开标准文本和编制说明，进行线上广泛征求意见，为期30天，共收集到行业专家、生产主体等提出的意见建议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条，全部采纳并进行修改完善。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月，自治区农业农村厅组织专家进行初审，收集采纳</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条意见，起草组根据初审意见对标准文本进一步优化调整，形成《水稻旱直播轻简栽培技术规程》（送审稿）和修订说明。</w:t>
      </w:r>
    </w:p>
    <w:p>
      <w:pPr>
        <w:rPr>
          <w:rFonts w:hint="eastAsia" w:ascii="仿宋_GB2312" w:hAnsi="仿宋_GB2312" w:eastAsia="仿宋_GB2312" w:cs="仿宋_GB2312"/>
          <w:sz w:val="32"/>
          <w:szCs w:val="32"/>
        </w:rPr>
      </w:pPr>
    </w:p>
    <w:p>
      <w:pPr>
        <w:ind w:firstLine="640" w:firstLineChars="200"/>
        <w:rPr>
          <w:rFonts w:hint="eastAsia" w:ascii="楷体" w:hAnsi="楷体" w:eastAsia="楷体" w:cs="楷体"/>
          <w:sz w:val="32"/>
          <w:szCs w:val="32"/>
        </w:rPr>
      </w:pPr>
      <w:r>
        <w:rPr>
          <w:rFonts w:hint="eastAsia" w:ascii="楷体" w:hAnsi="楷体" w:eastAsia="楷体" w:cs="楷体"/>
          <w:sz w:val="32"/>
          <w:szCs w:val="32"/>
        </w:rPr>
        <w:t>（五）报批审核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自治区市场监督管理厅组织召开地方标准技术审查会，专家组对标准送审稿进行全面审查，同意起草组根据专家意见进行修改完善。起草组按照审查意见修改后，形成标准报批稿，由专家组组长出具复核意见，提请行业主管部门报批。</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四、制定标准的原则和依据，与现行</w:t>
      </w:r>
      <w:r>
        <w:rPr>
          <w:rFonts w:hint="eastAsia" w:ascii="黑体" w:hAnsi="黑体" w:eastAsia="黑体" w:cs="黑体"/>
          <w:sz w:val="32"/>
          <w:szCs w:val="32"/>
          <w:lang w:eastAsia="zh-CN"/>
        </w:rPr>
        <w:t>法律法规</w:t>
      </w:r>
      <w:r>
        <w:rPr>
          <w:rFonts w:hint="eastAsia" w:ascii="黑体" w:hAnsi="黑体" w:eastAsia="黑体" w:cs="黑体"/>
          <w:sz w:val="32"/>
          <w:szCs w:val="32"/>
        </w:rPr>
        <w:t>、标准的关系</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（一）修订原则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1.合规性原则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标准修订严格遵循《中华人民共和国标准化法》《宁夏回族自治区地方标准管理办法》等法律法规要求，与现行农业领域相关强制性标准、规范无冲突，符合国家和自治区关于粮食生产、农产品质量安全、农业绿色发展等相关政策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2.规范性原则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本文件按照GB/T1.1-2020《标准化工作导则第1部分：标准化文件的结构和起草规则》的要求进行编写，语言表述规范，用语准确、简明，结构合理，逻辑清晰。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3.实用性原则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充分考虑宁夏引黄灌区的气候条件、土壤特性、种植模式和生产实际，聚焦生产中的关键技术环节，制定的技术指标和操作流程通俗易懂、便于掌握，确保标准能够在生产中直接应用，具有较强的可操作性。</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4.先进性原则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融入近年来水稻旱直播栽培领域的新技术、新成果，如缓（控）释肥精准施用、绿色防控等，优化技术参数，提升标准的科技含量和先进性，引领水稻生产技术升级。</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（二）修订依据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区市场监管厅关于下达2025年宁夏地方标准制（修）订计划的通知》要求，结合宁夏引黄灌区水稻旱直播轻简栽培的生产实践和技术创新成果，按照GB/T1.1-2020《标准化工作导则第1部分：标准化文件的结构和起草规则》的规定进行修订。</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（三）与现行法律法规、标准的关系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修订过程中，严格遵循《中华人民共和国农业法》《中华人民共和国农产品质量安全法》等法律法规。引用了GB4404.1《粮食作物种子禾谷类》、GB/T8321《农药合理使用准则》、GB/T15790《稻瘟病测报调查规范》、GB/T42478《农产品生产档案记载规范》、NY/T498《水稻联合收割机作业质量》、NY/T500《秸秆粉碎还田机作业质量》、NY/T741《深松、耙茬机械作业质量》、NY/T1276《农药安全使用规范总则》、DB64/T2051.3《主要农作物测土配方施肥技术规程第3部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水稻》等现行国家标准、行业标准和地方标准，条款内容与国家现行法律法规及相关标准要求一致，无冲突。</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五、主要条款的说明，主要技术指标、参数、实验验证的论述</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（一）主要条款说明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本标准在原标准基础上，对术语定义、播前整地、肥料运筹、种子准备、播种、水层管理、除草、病虫害防治、收获、秸秆处理、档案管理等技术内容进行了全面修订和完善，主要修改内容如下：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1.更改标准适用范围：明确本文件适用于宁夏回族自治区引黄灌区水稻规模化种植，并加入秸秆处理技术要求（见第1章、第14章）；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2.更新规范性引用文件：根据现行标准体系，替换和补充了相关引用文件，确保引用标准的有效性（见第2章）；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3.修订和补充术语定义：更新了“水稻旱直播”的定义，添加了“缓（控）释肥”“轻简栽培”的定义，删除了“田嘴”“初灌”等9个不再适用的术语（见第3章）；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4.优化播前整地技术：修改了犁地作业质量指标，增加了少免耕整地、激光平田等技术要求，补充了犁耕作业质量指标附录A（见第4章）；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5.完善肥料运筹结构：添加了缓（控）释肥运筹相关内容，明确了缓（控）释肥的养分配比、施用剂量和操作技术（见第5章）；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6.调整播种相关参数：更新了播种量、播种机械类型和主栽品种要求，优化了播种规格（见第7章）；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7.更新除草技术：调整了除草剂的类型及其使用方法，符合绿色防控要求（见第10章）；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8.优化病虫害防治方案：更改了水稻常见病虫害类型及其防治方法，补充了新型高效、低毒、低残留药剂（见第11章）；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9.增加档案管理章节：明确农产品生产档案记载要求，符合质量安全追溯需求（见第15章）；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10.补充秸秆处理技术：详细规定了秸秆还田、打捆、深翻还田等操作要求和质量标准（见第14章）。</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（二）主要技术指标、参数、试验验证的论述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近年来，起草单位结合宁夏引黄灌区水稻产业发展需求，在</w:t>
      </w:r>
      <w:r>
        <w:rPr>
          <w:rFonts w:hint="eastAsia" w:ascii="仿宋_GB2312" w:hAnsi="仿宋_GB2312" w:eastAsia="仿宋_GB2312" w:cs="仿宋_GB2312"/>
          <w:sz w:val="32"/>
          <w:szCs w:val="32"/>
          <w:lang w:eastAsia="zh-CN"/>
        </w:rPr>
        <w:t>前进农场、</w:t>
      </w:r>
      <w:r>
        <w:rPr>
          <w:rFonts w:hint="eastAsia" w:ascii="仿宋_GB2312" w:hAnsi="仿宋_GB2312" w:eastAsia="仿宋_GB2312" w:cs="仿宋_GB2312"/>
          <w:sz w:val="32"/>
          <w:szCs w:val="32"/>
        </w:rPr>
        <w:t>灵武农场、青铜峡等水稻主产区开展了多项试验示范，对缓（控）释肥施用、秸秆还田、机械化作业等关键技术指标进行了实地验证，为标准修订提供了坚实的数据支撑。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1.缓（控）释肥运筹技术试验验证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1.1试验设计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试验设置缓（控）释肥一次性施用（处理组）和常规分次施肥（对照组），缓（控）释肥养分配比为N～P₂O₅～K₂O=32～13～6，控释氮比例24%，处理组播后上水亩施40kg～44kg，采用播种同步侧深施肥方式，种肥间距8cm～10cm，播肥深度3cm～5cm；对照组按照原标准常规施肥方法分次施用。试验小区面积300㎡，重复3次，其他田间管理措施一致，观测水稻生长发育、产量及肥料利用率等指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1.2结果与分析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果表明，处理组水稻株高、茎粗等生长指标与对照组无显著差异，结实率提高2.3%～3.5%，亩均产量达650kg～680kg，与对照组持平；肥料偏生产力提高35%以上，肥料农学利用率提高28%～32%，有效减少了肥料流失，降低了生产成本。说明缓（控）释肥一次性施用技术可行，能够满足水稻生长需求，且省工省力，符合轻简栽培理念，因此确定了缓（控）释肥的养分配比、施用剂量及操作技术指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2.秸秆还田技术试验验证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2.1试验设计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试验设置秸秆粉碎还田（处理1）、秸秆打捆后根茬深翻还田（处理2）和无秸秆还田（对照组），处理1采用秸秆粉碎还田机粉碎后旋耕覆盖，秸秆含水率控制在15%～25%；处理2秸秆打捆回收后，用深松犁将根茬翻压还田，翻压深度30cm以上。观测土壤理化性质、水稻生长及产量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2.2结果与分析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试验结果显示，处理1和处理2的土壤有机质含量较对照组分别提高12.5%和9.8%，土壤容重降低8.3%和6.7%，保水保肥能力显著提升；水稻出苗率较对照组分别提高3.1%和2.4%，亩均产量分别达662kg和655kg，较对照组增产4.8%和3.7%。说明秸秆还田技术能够改善土壤结构，促进水稻生长，提高产量，因此明确了秸秆还田的作业方式、机具选择和质量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3.播种参数优化试验验证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3.1试验设计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设置不同播种量（15kg/667㎡、16.5kg/667㎡、18kg/667㎡）和播种规格（行距18cm、20cm、22cm；穴距12cm）处理，观测水稻群体结构、分蘖动态及产量。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3.2结果与分析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结果表明，播种量15～18kg/667㎡、行距18～22cm、穴距12cm时，水稻群体通风透光条件良好，有效分蘖数达</w:t>
      </w:r>
      <w:r>
        <w:rPr>
          <w:rFonts w:hint="eastAsia" w:ascii="仿宋_GB2312" w:hAnsi="仿宋_GB2312" w:eastAsia="仿宋_GB2312" w:cs="仿宋_GB2312"/>
          <w:sz w:val="32"/>
          <w:szCs w:val="32"/>
          <w:lang w:eastAsia="zh-CN"/>
        </w:rPr>
        <w:t>28万～32万</w:t>
      </w:r>
      <w:r>
        <w:rPr>
          <w:rFonts w:hint="eastAsia" w:ascii="仿宋_GB2312" w:hAnsi="仿宋_GB2312" w:eastAsia="仿宋_GB2312" w:cs="仿宋_GB2312"/>
          <w:sz w:val="32"/>
          <w:szCs w:val="32"/>
        </w:rPr>
        <w:t>/亩，成穗率85%以上，亩均产量稳定在650kg以上；当播种量超过18kg/667㎡时，群体过密，病虫害发生加重，产量反而下降；播种量低于15kg/667㎡时，有效穗数不足，产量降低。因此确定了适宜的播种量和播种规格参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4.病虫草害绿色防控技术验证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在引黄灌区多点试验，筛选出25%氰氟草酯水乳剂、5%多抗霉素水剂等高效、低毒、低残留药剂，明确了不同病虫草害的防治时期和用药剂量：播前或播后24小时内使用48%仲丁灵乳油150毫升/亩进行芽前封闭除草，5月中下旬使用25%氰氟草酯水乳剂200毫升/亩进行苗后除草；6月下旬至7月上旬防治稻瘟病，选用5%多抗霉素水剂75-93毫升/亩，防治效果达85%以上，且农药残留量符合国家标准要求，因此确定了相关病虫草害的防治药剂和使用方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5.大面积示范验证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在宁夏引黄灌区累计示范推广修订后的技术规程1.2万亩，示范区域水稻平均亩产658kg，较常规种植增产3.2%，化肥用量减少15%～20%，农药用量减少10%～15%，每亩节省人工成本80～100元，实现了节本增效、绿色环保的目标，验证了本标准技术指标的科学性和实用性。</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六、重大意见分歧的处理依据和结果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标准修订过程中，起草组广泛征求了行业专家、生产主体、管理部门等各方意见，对收集到的意见建议进行了认真梳理和论证。各方在标准的适用范围、核心技术指标、操作流程等关键内容上达成一致，无重大分歧意见。对于个别争议较小的意见，起草组通过沟通协商、补充试验数据等方式进行了妥善处理，确保了标准的科学性和适用性。</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七、实施标准的措施建议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本标准为推荐性地方标准，对宁夏引黄灌区水稻旱直播轻简栽培具有重要的指导意义。为确保标准顺利实施，提出以下措施建议：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1.加强宣传培训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自治区农业农村厅牵头，组织各市县农业技术推广部门，通过举办培训班、现场观摩会、发放技术手册等形式，向种植户、合作社、农业企业等推广主体普及标准内容，讲解关键技术要点，提高标准的知晓率和应用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2.强化示范推广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在水稻主产区建立标准示范基地，集中展示秸秆还田、缓（控）释肥施用、绿色防控等集成技术，发挥示范引领作用，引导农户自觉按照标准进行生产。</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3.完善技术服务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组织农业技术人员深入生产一线，开展技术指导和咨询服务，及时解决标准实施过程中遇到的问题，确保标准落地见效。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4.加强监督检查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定期对标准实施情况进行跟踪评估，了解标准的应用效果，收集反馈意见，为标准的后续修订完善提供依据。</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八、知识产权说明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本标准不涉及专利等知识产权问题。本文件的发布机构不承担识别专利的责任。</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九、其他应予说明的事项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稻旱直播轻简栽培技术规程》（DB64/T527-2008）标准于2008年由相关单位制定并发布实施。本次修订过程中，原标准主要起草单位和人员均表示支持，无异议。本标准修订严格遵循相关规定，充分结合宁夏引黄灌区水稻生产实际，确保了标准的连续性、先进性和实用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公文小标宋">
    <w:altName w:val="宋体"/>
    <w:panose1 w:val="02000500000000000000"/>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文泉驿正黑">
    <w:altName w:val="黑体"/>
    <w:panose1 w:val="02000603000000000000"/>
    <w:charset w:val="86"/>
    <w:family w:val="auto"/>
    <w:pitch w:val="default"/>
    <w:sig w:usb0="00000000" w:usb1="00000000" w:usb2="00000036" w:usb3="00000000" w:csb0="603E000D" w:csb1="D2D70000"/>
  </w:font>
  <w:font w:name="DejaVu Sans">
    <w:altName w:val="Segoe Print"/>
    <w:panose1 w:val="020B0603030804020204"/>
    <w:charset w:val="00"/>
    <w:family w:val="auto"/>
    <w:pitch w:val="default"/>
    <w:sig w:usb0="00000000" w:usb1="00000000" w:usb2="0A246029" w:usb3="0400200C" w:csb0="600001FF" w:csb1="DFFF0000"/>
  </w:font>
  <w:font w:name="方正仿宋_GBK">
    <w:panose1 w:val="03000509000000000000"/>
    <w:charset w:val="86"/>
    <w:family w:val="auto"/>
    <w:pitch w:val="default"/>
    <w:sig w:usb0="00000001" w:usb1="080E0000" w:usb2="00000000" w:usb3="00000000" w:csb0="00040000"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D435D"/>
    <w:rsid w:val="3E5E3F90"/>
    <w:rsid w:val="53F503EE"/>
    <w:rsid w:val="5FFD435D"/>
    <w:rsid w:val="EDDF9D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2026-01-27T16:27:00Z</dcterms:created>
  <dc:creator>王昊</dc:creator>
  <cp:lastModifiedBy>张建光</cp:lastModifiedBy>
  <dcterms:modified xsi:type="dcterms:W3CDTF">2026-03-04T01:53:21Z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8DC5E2E7D08A174A7E2577691C699C36_41</vt:lpwstr>
  </property>
</Properties>
</file>