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D89FA">
      <w:pPr>
        <w:pStyle w:val="3"/>
        <w:spacing w:before="0" w:beforeAutospacing="0" w:after="0" w:afterAutospacing="0"/>
        <w:rPr>
          <w:rFonts w:hint="default" w:ascii="仿宋_GB2312" w:hAnsi="仿宋_GB2312" w:eastAsia="仿宋_GB2312" w:cs="仿宋_GB2312"/>
          <w:bCs/>
          <w:sz w:val="32"/>
          <w:szCs w:val="32"/>
        </w:rPr>
      </w:pPr>
      <w:r>
        <w:rPr>
          <w:rFonts w:ascii="黑体" w:hAnsi="黑体" w:eastAsia="黑体" w:cs="黑体"/>
          <w:b w:val="0"/>
          <w:kern w:val="2"/>
          <w:sz w:val="32"/>
          <w:szCs w:val="32"/>
        </w:rPr>
        <w:t xml:space="preserve">  </w:t>
      </w:r>
      <w:r>
        <w:rPr>
          <w:rFonts w:ascii="黑体" w:hAnsi="黑体" w:eastAsia="黑体" w:cs="黑体"/>
          <w:bCs/>
          <w:sz w:val="32"/>
          <w:szCs w:val="32"/>
        </w:rPr>
        <w:t xml:space="preserve"> </w:t>
      </w:r>
      <w:r>
        <w:rPr>
          <w:rFonts w:ascii="仿宋_GB2312" w:hAnsi="仿宋_GB2312" w:eastAsia="仿宋_GB2312" w:cs="仿宋_GB2312"/>
          <w:bCs/>
          <w:sz w:val="32"/>
          <w:szCs w:val="32"/>
        </w:rPr>
        <w:t xml:space="preserve"> </w:t>
      </w:r>
    </w:p>
    <w:p w14:paraId="3E50AD09">
      <w:pPr>
        <w:pStyle w:val="3"/>
        <w:spacing w:before="0" w:beforeAutospacing="0" w:after="0" w:afterAutospacing="0" w:line="600" w:lineRule="exact"/>
        <w:jc w:val="center"/>
        <w:rPr>
          <w:rFonts w:hint="default" w:ascii="方正小标宋_GBK" w:hAnsi="黑体" w:eastAsia="方正小标宋_GBK"/>
          <w:b w:val="0"/>
          <w:bCs/>
          <w:sz w:val="44"/>
          <w:szCs w:val="44"/>
        </w:rPr>
      </w:pPr>
      <w:r>
        <w:rPr>
          <w:rFonts w:ascii="方正小标宋_GBK" w:hAnsi="黑体" w:eastAsia="方正小标宋_GBK"/>
          <w:b w:val="0"/>
          <w:bCs/>
          <w:sz w:val="44"/>
          <w:szCs w:val="44"/>
        </w:rPr>
        <w:t>宁夏回族自治区</w:t>
      </w:r>
      <w:r>
        <w:rPr>
          <w:rFonts w:ascii="方正小标宋_GBK" w:hAnsi="黑体" w:eastAsia="方正小标宋_GBK"/>
          <w:b w:val="0"/>
          <w:bCs/>
          <w:sz w:val="44"/>
          <w:szCs w:val="44"/>
          <w:u w:val="single"/>
        </w:rPr>
        <w:t xml:space="preserve"> </w:t>
      </w:r>
      <w:r>
        <w:rPr>
          <w:rFonts w:hint="eastAsia" w:ascii="方正小标宋_GBK" w:hAnsi="黑体" w:eastAsia="方正小标宋_GBK"/>
          <w:b w:val="0"/>
          <w:bCs/>
          <w:sz w:val="44"/>
          <w:szCs w:val="44"/>
          <w:u w:val="single"/>
          <w:lang w:eastAsia="zh-CN"/>
        </w:rPr>
        <w:t>牛羊布鲁氏菌病免疫操作技术规范</w:t>
      </w:r>
      <w:r>
        <w:rPr>
          <w:rFonts w:ascii="方正小标宋_GBK" w:hAnsi="黑体" w:eastAsia="方正小标宋_GBK"/>
          <w:b w:val="0"/>
          <w:bCs/>
          <w:sz w:val="44"/>
          <w:szCs w:val="44"/>
          <w:u w:val="single"/>
        </w:rPr>
        <w:t xml:space="preserve"> </w:t>
      </w:r>
      <w:r>
        <w:rPr>
          <w:rFonts w:ascii="方正小标宋_GBK" w:hAnsi="黑体" w:eastAsia="方正小标宋_GBK"/>
          <w:b w:val="0"/>
          <w:bCs/>
          <w:sz w:val="44"/>
          <w:szCs w:val="44"/>
        </w:rPr>
        <w:t>地方标准征求意见汇总处理表</w:t>
      </w:r>
    </w:p>
    <w:tbl>
      <w:tblPr>
        <w:tblStyle w:val="6"/>
        <w:tblW w:w="14450"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3503"/>
        <w:gridCol w:w="4230"/>
        <w:gridCol w:w="3225"/>
        <w:gridCol w:w="2732"/>
      </w:tblGrid>
      <w:tr w14:paraId="0C4C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60" w:type="dxa"/>
            <w:vAlign w:val="center"/>
          </w:tcPr>
          <w:p w14:paraId="38CC8073">
            <w:pPr>
              <w:snapToGrid w:val="0"/>
              <w:jc w:val="center"/>
              <w:rPr>
                <w:rFonts w:ascii="黑体" w:hAnsi="宋体" w:eastAsia="黑体" w:cs="Times New Roman"/>
                <w:color w:val="auto"/>
                <w:sz w:val="24"/>
                <w:szCs w:val="28"/>
              </w:rPr>
            </w:pPr>
            <w:r>
              <w:rPr>
                <w:rFonts w:hint="eastAsia" w:ascii="黑体" w:hAnsi="宋体" w:eastAsia="黑体" w:cs="Times New Roman"/>
                <w:color w:val="auto"/>
                <w:sz w:val="24"/>
                <w:szCs w:val="28"/>
              </w:rPr>
              <w:t>序号</w:t>
            </w:r>
          </w:p>
        </w:tc>
        <w:tc>
          <w:tcPr>
            <w:tcW w:w="3503" w:type="dxa"/>
            <w:vAlign w:val="center"/>
          </w:tcPr>
          <w:p w14:paraId="29DEB402">
            <w:pPr>
              <w:snapToGrid w:val="0"/>
              <w:jc w:val="center"/>
              <w:rPr>
                <w:rFonts w:ascii="黑体" w:hAnsi="宋体" w:eastAsia="黑体" w:cs="Times New Roman"/>
                <w:color w:val="auto"/>
                <w:sz w:val="24"/>
                <w:szCs w:val="28"/>
              </w:rPr>
            </w:pPr>
            <w:r>
              <w:rPr>
                <w:rFonts w:hint="eastAsia" w:ascii="黑体" w:hAnsi="宋体" w:eastAsia="黑体" w:cs="Times New Roman"/>
                <w:color w:val="auto"/>
                <w:sz w:val="24"/>
                <w:szCs w:val="28"/>
              </w:rPr>
              <w:t>意见章条及原标准内容</w:t>
            </w:r>
          </w:p>
        </w:tc>
        <w:tc>
          <w:tcPr>
            <w:tcW w:w="4230" w:type="dxa"/>
            <w:vAlign w:val="center"/>
          </w:tcPr>
          <w:p w14:paraId="41BA96F0">
            <w:pPr>
              <w:snapToGrid w:val="0"/>
              <w:jc w:val="center"/>
              <w:rPr>
                <w:rFonts w:ascii="黑体" w:hAnsi="宋体" w:eastAsia="黑体" w:cs="Times New Roman"/>
                <w:color w:val="auto"/>
                <w:sz w:val="24"/>
                <w:szCs w:val="28"/>
              </w:rPr>
            </w:pPr>
            <w:r>
              <w:rPr>
                <w:rFonts w:hint="eastAsia" w:ascii="黑体" w:hAnsi="宋体" w:eastAsia="黑体" w:cs="Times New Roman"/>
                <w:color w:val="auto"/>
                <w:sz w:val="24"/>
                <w:szCs w:val="28"/>
              </w:rPr>
              <w:t>修改意见及依据</w:t>
            </w:r>
          </w:p>
        </w:tc>
        <w:tc>
          <w:tcPr>
            <w:tcW w:w="3225" w:type="dxa"/>
            <w:vAlign w:val="center"/>
          </w:tcPr>
          <w:p w14:paraId="115567CA">
            <w:pPr>
              <w:snapToGrid w:val="0"/>
              <w:jc w:val="center"/>
              <w:rPr>
                <w:rFonts w:ascii="黑体" w:hAnsi="宋体" w:eastAsia="黑体" w:cs="Times New Roman"/>
                <w:color w:val="auto"/>
                <w:sz w:val="24"/>
                <w:szCs w:val="28"/>
              </w:rPr>
            </w:pPr>
            <w:r>
              <w:rPr>
                <w:rFonts w:hint="eastAsia" w:ascii="黑体" w:hAnsi="宋体" w:eastAsia="黑体" w:cs="Times New Roman"/>
                <w:color w:val="auto"/>
                <w:sz w:val="24"/>
                <w:szCs w:val="28"/>
              </w:rPr>
              <w:t>提出单位</w:t>
            </w:r>
          </w:p>
        </w:tc>
        <w:tc>
          <w:tcPr>
            <w:tcW w:w="2732" w:type="dxa"/>
            <w:vAlign w:val="center"/>
          </w:tcPr>
          <w:p w14:paraId="7E3C359A">
            <w:pPr>
              <w:snapToGrid w:val="0"/>
              <w:jc w:val="center"/>
              <w:rPr>
                <w:rFonts w:ascii="黑体" w:hAnsi="宋体" w:eastAsia="黑体" w:cs="Times New Roman"/>
                <w:color w:val="auto"/>
                <w:sz w:val="24"/>
                <w:szCs w:val="28"/>
              </w:rPr>
            </w:pPr>
            <w:r>
              <w:rPr>
                <w:rFonts w:hint="eastAsia" w:ascii="黑体" w:hAnsi="宋体" w:eastAsia="黑体" w:cs="Times New Roman"/>
                <w:color w:val="auto"/>
                <w:sz w:val="24"/>
                <w:szCs w:val="28"/>
              </w:rPr>
              <w:t>意见处理</w:t>
            </w:r>
          </w:p>
        </w:tc>
      </w:tr>
      <w:tr w14:paraId="68EE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60" w:type="dxa"/>
            <w:vAlign w:val="center"/>
          </w:tcPr>
          <w:p w14:paraId="2C97A968">
            <w:pPr>
              <w:jc w:val="center"/>
              <w:rPr>
                <w:rFonts w:ascii="Times New Roman" w:hAnsi="Times New Roman" w:eastAsia="仿宋" w:cs="Times New Roman"/>
                <w:color w:val="auto"/>
                <w:sz w:val="24"/>
              </w:rPr>
            </w:pPr>
            <w:r>
              <w:rPr>
                <w:rFonts w:ascii="Times New Roman" w:hAnsi="Times New Roman" w:eastAsia="仿宋" w:cs="Times New Roman"/>
                <w:color w:val="auto"/>
                <w:sz w:val="24"/>
              </w:rPr>
              <w:t>1</w:t>
            </w:r>
          </w:p>
        </w:tc>
        <w:tc>
          <w:tcPr>
            <w:tcW w:w="3503" w:type="dxa"/>
            <w:vAlign w:val="center"/>
          </w:tcPr>
          <w:p w14:paraId="4FAFFF9E">
            <w:pPr>
              <w:pStyle w:val="19"/>
              <w:numPr>
                <w:ilvl w:val="0"/>
                <w:numId w:val="0"/>
              </w:numPr>
              <w:ind w:firstLine="420" w:firstLineChars="200"/>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4.1.1 疫苗选择</w:t>
            </w:r>
          </w:p>
          <w:p w14:paraId="38178A49">
            <w:pPr>
              <w:pStyle w:val="19"/>
              <w:numPr>
                <w:ilvl w:val="0"/>
                <w:numId w:val="0"/>
              </w:numPr>
              <w:ind w:firstLine="420" w:firstLineChars="200"/>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常用疫苗见附录A。</w:t>
            </w:r>
          </w:p>
        </w:tc>
        <w:tc>
          <w:tcPr>
            <w:tcW w:w="4230" w:type="dxa"/>
            <w:vAlign w:val="center"/>
          </w:tcPr>
          <w:p w14:paraId="72D6C3C6">
            <w:pPr>
              <w:ind w:firstLine="420" w:firstLineChars="200"/>
              <w:jc w:val="both"/>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建议在附录A的常用疫苗及免疫参数表中增加一列“免疫保护期”。</w:t>
            </w:r>
          </w:p>
        </w:tc>
        <w:tc>
          <w:tcPr>
            <w:tcW w:w="3225" w:type="dxa"/>
            <w:vAlign w:val="center"/>
          </w:tcPr>
          <w:p w14:paraId="6CD00A65">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宁夏农林科学院动物科学研究所</w:t>
            </w:r>
          </w:p>
        </w:tc>
        <w:tc>
          <w:tcPr>
            <w:tcW w:w="2732" w:type="dxa"/>
            <w:vAlign w:val="center"/>
          </w:tcPr>
          <w:p w14:paraId="038837B3">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全部采纳</w:t>
            </w:r>
          </w:p>
        </w:tc>
      </w:tr>
      <w:tr w14:paraId="71717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60" w:type="dxa"/>
            <w:vAlign w:val="center"/>
          </w:tcPr>
          <w:p w14:paraId="7374E3C7">
            <w:pPr>
              <w:jc w:val="center"/>
              <w:rPr>
                <w:rFonts w:ascii="Times New Roman" w:hAnsi="Times New Roman" w:eastAsia="仿宋" w:cs="Times New Roman"/>
                <w:color w:val="auto"/>
                <w:sz w:val="24"/>
              </w:rPr>
            </w:pPr>
            <w:r>
              <w:rPr>
                <w:rFonts w:hint="eastAsia" w:ascii="Times New Roman" w:hAnsi="Times New Roman" w:eastAsia="仿宋" w:cs="Times New Roman"/>
                <w:color w:val="auto"/>
                <w:sz w:val="24"/>
              </w:rPr>
              <w:t>2</w:t>
            </w:r>
          </w:p>
        </w:tc>
        <w:tc>
          <w:tcPr>
            <w:tcW w:w="3503" w:type="dxa"/>
            <w:vAlign w:val="center"/>
          </w:tcPr>
          <w:p w14:paraId="359ED038">
            <w:pPr>
              <w:pStyle w:val="19"/>
              <w:numPr>
                <w:ilvl w:val="0"/>
                <w:numId w:val="0"/>
              </w:numPr>
              <w:ind w:firstLine="420" w:firstLineChars="200"/>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封面页</w:t>
            </w:r>
          </w:p>
          <w:p w14:paraId="0ACEBD4E">
            <w:pPr>
              <w:pStyle w:val="19"/>
              <w:numPr>
                <w:ilvl w:val="0"/>
                <w:numId w:val="0"/>
              </w:numPr>
              <w:ind w:firstLine="420" w:firstLineChars="200"/>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ICS</w:t>
            </w:r>
          </w:p>
          <w:p w14:paraId="2E94FAD2">
            <w:pPr>
              <w:pStyle w:val="19"/>
              <w:numPr>
                <w:ilvl w:val="0"/>
                <w:numId w:val="0"/>
              </w:numPr>
              <w:ind w:firstLine="420" w:firstLineChars="200"/>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CCS</w:t>
            </w:r>
          </w:p>
        </w:tc>
        <w:tc>
          <w:tcPr>
            <w:tcW w:w="4230" w:type="dxa"/>
            <w:vAlign w:val="center"/>
          </w:tcPr>
          <w:p w14:paraId="72C25A9F">
            <w:pPr>
              <w:pStyle w:val="19"/>
              <w:numPr>
                <w:ilvl w:val="0"/>
                <w:numId w:val="0"/>
              </w:numPr>
              <w:ind w:firstLine="420" w:firstLineChars="200"/>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补充ICS和CCS号。</w:t>
            </w:r>
          </w:p>
        </w:tc>
        <w:tc>
          <w:tcPr>
            <w:tcW w:w="3225" w:type="dxa"/>
            <w:vAlign w:val="center"/>
          </w:tcPr>
          <w:p w14:paraId="48596B97">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宁夏大学动物科技学院</w:t>
            </w:r>
          </w:p>
        </w:tc>
        <w:tc>
          <w:tcPr>
            <w:tcW w:w="2732" w:type="dxa"/>
            <w:vAlign w:val="center"/>
          </w:tcPr>
          <w:p w14:paraId="5FE6A5BC">
            <w:pPr>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463E7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60" w:type="dxa"/>
            <w:vAlign w:val="center"/>
          </w:tcPr>
          <w:p w14:paraId="6A33C6B4">
            <w:pPr>
              <w:jc w:val="center"/>
              <w:rPr>
                <w:rFonts w:hint="eastAsia"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3</w:t>
            </w:r>
          </w:p>
        </w:tc>
        <w:tc>
          <w:tcPr>
            <w:tcW w:w="3503" w:type="dxa"/>
            <w:vAlign w:val="center"/>
          </w:tcPr>
          <w:p w14:paraId="37C9AC9E">
            <w:pPr>
              <w:pStyle w:val="19"/>
              <w:numPr>
                <w:ilvl w:val="0"/>
                <w:numId w:val="0"/>
              </w:numPr>
              <w:ind w:firstLine="420" w:firstLineChars="200"/>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封面页</w:t>
            </w:r>
          </w:p>
          <w:p w14:paraId="1EFD4949">
            <w:pPr>
              <w:pStyle w:val="19"/>
              <w:numPr>
                <w:ilvl w:val="0"/>
                <w:numId w:val="0"/>
              </w:numPr>
              <w:ind w:firstLine="420" w:firstLineChars="200"/>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“specifications ...”</w:t>
            </w:r>
          </w:p>
        </w:tc>
        <w:tc>
          <w:tcPr>
            <w:tcW w:w="4230" w:type="dxa"/>
            <w:vAlign w:val="center"/>
          </w:tcPr>
          <w:p w14:paraId="0C9E49F7">
            <w:pPr>
              <w:pStyle w:val="19"/>
              <w:numPr>
                <w:ilvl w:val="0"/>
                <w:numId w:val="0"/>
              </w:numPr>
              <w:ind w:firstLine="420" w:firstLineChars="200"/>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题目英文翻译“specifications ...”去掉末尾s，用单数。</w:t>
            </w:r>
          </w:p>
        </w:tc>
        <w:tc>
          <w:tcPr>
            <w:tcW w:w="3225" w:type="dxa"/>
            <w:vAlign w:val="center"/>
          </w:tcPr>
          <w:p w14:paraId="3D4D147A">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宁夏大学动物科技学院</w:t>
            </w:r>
          </w:p>
        </w:tc>
        <w:tc>
          <w:tcPr>
            <w:tcW w:w="2732" w:type="dxa"/>
            <w:vAlign w:val="center"/>
          </w:tcPr>
          <w:p w14:paraId="277097C5">
            <w:pPr>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6B8DC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4DC26654">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4</w:t>
            </w:r>
          </w:p>
        </w:tc>
        <w:tc>
          <w:tcPr>
            <w:tcW w:w="3503" w:type="dxa"/>
            <w:vAlign w:val="center"/>
          </w:tcPr>
          <w:p w14:paraId="5B2992C6">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5.5 佩戴免疫耳标与免疫档案填报</w:t>
            </w:r>
          </w:p>
        </w:tc>
        <w:tc>
          <w:tcPr>
            <w:tcW w:w="4230" w:type="dxa"/>
            <w:vAlign w:val="center"/>
          </w:tcPr>
          <w:p w14:paraId="00C55BD5">
            <w:pPr>
              <w:pStyle w:val="19"/>
              <w:numPr>
                <w:ilvl w:val="0"/>
                <w:numId w:val="0"/>
              </w:numPr>
              <w:ind w:firstLine="420" w:firstLineChars="20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改为“佩戴免疫耳标与填报免疫档案”</w:t>
            </w:r>
          </w:p>
        </w:tc>
        <w:tc>
          <w:tcPr>
            <w:tcW w:w="3225" w:type="dxa"/>
            <w:vAlign w:val="center"/>
          </w:tcPr>
          <w:p w14:paraId="27BC339F">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宁夏大学动物科技学院</w:t>
            </w:r>
          </w:p>
        </w:tc>
        <w:tc>
          <w:tcPr>
            <w:tcW w:w="2732" w:type="dxa"/>
            <w:vAlign w:val="center"/>
          </w:tcPr>
          <w:p w14:paraId="588829F5">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3771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27971F01">
            <w:pPr>
              <w:adjustRightInd w:val="0"/>
              <w:snapToGrid w:val="0"/>
              <w:jc w:val="center"/>
              <w:rPr>
                <w:rFonts w:hint="eastAsia" w:ascii="Times New Roman" w:hAnsi="Times New Roman" w:eastAsia="仿宋" w:cs="Times New Roman"/>
                <w:color w:val="auto"/>
                <w:sz w:val="24"/>
                <w:lang w:eastAsia="zh-CN"/>
              </w:rPr>
            </w:pPr>
            <w:r>
              <w:rPr>
                <w:rFonts w:hint="eastAsia" w:ascii="Times New Roman" w:hAnsi="Times New Roman" w:eastAsia="仿宋" w:cs="Times New Roman"/>
                <w:color w:val="auto"/>
                <w:sz w:val="24"/>
                <w:lang w:val="en-US" w:eastAsia="zh-CN"/>
              </w:rPr>
              <w:t>5</w:t>
            </w:r>
          </w:p>
        </w:tc>
        <w:tc>
          <w:tcPr>
            <w:tcW w:w="3503" w:type="dxa"/>
            <w:vAlign w:val="center"/>
          </w:tcPr>
          <w:p w14:paraId="1A3B6DCC">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1 范围</w:t>
            </w:r>
          </w:p>
          <w:p w14:paraId="1724BEA9">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本文件适用于对宁夏回族自治区全域牛羊进行布鲁氏菌病免疫操作的单位和个人。</w:t>
            </w:r>
          </w:p>
        </w:tc>
        <w:tc>
          <w:tcPr>
            <w:tcW w:w="4230" w:type="dxa"/>
            <w:vAlign w:val="center"/>
          </w:tcPr>
          <w:p w14:paraId="1B81E639">
            <w:pPr>
              <w:pStyle w:val="19"/>
              <w:numPr>
                <w:ilvl w:val="0"/>
                <w:numId w:val="0"/>
              </w:numPr>
              <w:ind w:firstLine="420" w:firstLineChars="20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eastAsia="zh-CN"/>
              </w:rPr>
              <w:t>适用界限要包含“文件的使用者”和“文件的规定有什么用”，建议修改为“本文件适用于单位和个人对牛羊进行布鲁氏菌病免疫操作”。</w:t>
            </w:r>
          </w:p>
        </w:tc>
        <w:tc>
          <w:tcPr>
            <w:tcW w:w="3225" w:type="dxa"/>
            <w:vAlign w:val="center"/>
          </w:tcPr>
          <w:p w14:paraId="037A5263">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宁夏食品安全</w:t>
            </w:r>
            <w:bookmarkStart w:id="0" w:name="_GoBack"/>
            <w:bookmarkEnd w:id="0"/>
            <w:r>
              <w:rPr>
                <w:rFonts w:hint="default" w:ascii="Times New Roman" w:hAnsi="Times New Roman" w:eastAsia="仿宋_GB2312" w:cs="Times New Roman"/>
                <w:color w:val="auto"/>
                <w:sz w:val="21"/>
                <w:szCs w:val="21"/>
                <w:lang w:val="en-US" w:eastAsia="zh-CN"/>
              </w:rPr>
              <w:t>协会</w:t>
            </w:r>
          </w:p>
        </w:tc>
        <w:tc>
          <w:tcPr>
            <w:tcW w:w="2732" w:type="dxa"/>
            <w:vAlign w:val="center"/>
          </w:tcPr>
          <w:p w14:paraId="7602D43E">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4A96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69E35CD3">
            <w:pPr>
              <w:adjustRightInd w:val="0"/>
              <w:snapToGrid w:val="0"/>
              <w:jc w:val="center"/>
              <w:rPr>
                <w:rFonts w:hint="eastAsia"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6</w:t>
            </w:r>
          </w:p>
        </w:tc>
        <w:tc>
          <w:tcPr>
            <w:tcW w:w="3503" w:type="dxa"/>
            <w:vAlign w:val="center"/>
          </w:tcPr>
          <w:p w14:paraId="734E4194">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5.4.2 皮下注射</w:t>
            </w:r>
          </w:p>
          <w:p w14:paraId="45E80FEC">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6.2 免疫器械、个人防护用品消毒</w:t>
            </w:r>
          </w:p>
          <w:p w14:paraId="1A71CC74">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6.3 人员消毒</w:t>
            </w:r>
          </w:p>
        </w:tc>
        <w:tc>
          <w:tcPr>
            <w:tcW w:w="4230" w:type="dxa"/>
            <w:vAlign w:val="center"/>
          </w:tcPr>
          <w:p w14:paraId="6D56063D">
            <w:pPr>
              <w:pStyle w:val="19"/>
              <w:numPr>
                <w:ilvl w:val="0"/>
                <w:numId w:val="0"/>
              </w:numPr>
              <w:ind w:firstLine="420" w:firstLineChars="20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5.4.2、6.2、6.3中将30°-40°等直线统一改为波浪线，“~”。</w:t>
            </w:r>
          </w:p>
        </w:tc>
        <w:tc>
          <w:tcPr>
            <w:tcW w:w="3225" w:type="dxa"/>
            <w:vAlign w:val="center"/>
          </w:tcPr>
          <w:p w14:paraId="5F66140C">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宁夏食品安全协会</w:t>
            </w:r>
          </w:p>
        </w:tc>
        <w:tc>
          <w:tcPr>
            <w:tcW w:w="2732" w:type="dxa"/>
            <w:vAlign w:val="center"/>
          </w:tcPr>
          <w:p w14:paraId="0FBE95F8">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157A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37E91ABA">
            <w:pPr>
              <w:adjustRightInd w:val="0"/>
              <w:snapToGrid w:val="0"/>
              <w:jc w:val="center"/>
              <w:rPr>
                <w:rFonts w:hint="eastAsia"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7</w:t>
            </w:r>
          </w:p>
        </w:tc>
        <w:tc>
          <w:tcPr>
            <w:tcW w:w="3503" w:type="dxa"/>
            <w:vAlign w:val="center"/>
          </w:tcPr>
          <w:p w14:paraId="6E853EEF">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4.3.5 其他要求</w:t>
            </w:r>
          </w:p>
          <w:p w14:paraId="5DC64A69">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灭菌超过7天的，...</w:t>
            </w:r>
          </w:p>
          <w:p w14:paraId="7F02AFFF">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5.1.1 个人防护穿戴要求</w:t>
            </w:r>
          </w:p>
          <w:p w14:paraId="5D1E14CA">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 洗手30秒 ...</w:t>
            </w:r>
          </w:p>
          <w:p w14:paraId="33DE02FF">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5.4.1 口服免疫</w:t>
            </w:r>
          </w:p>
          <w:p w14:paraId="5C8A5DF3">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免疫后禁食、禁水1小时。</w:t>
            </w:r>
          </w:p>
        </w:tc>
        <w:tc>
          <w:tcPr>
            <w:tcW w:w="4230" w:type="dxa"/>
            <w:vAlign w:val="center"/>
          </w:tcPr>
          <w:p w14:paraId="4868A00D">
            <w:pPr>
              <w:pStyle w:val="19"/>
              <w:numPr>
                <w:ilvl w:val="0"/>
                <w:numId w:val="0"/>
              </w:numPr>
              <w:ind w:firstLine="420" w:firstLineChars="20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4.3.5中“7天”改为“7 d”；</w:t>
            </w:r>
          </w:p>
          <w:p w14:paraId="70C67076">
            <w:pPr>
              <w:pStyle w:val="19"/>
              <w:numPr>
                <w:ilvl w:val="0"/>
                <w:numId w:val="0"/>
              </w:numPr>
              <w:ind w:firstLine="420" w:firstLineChars="20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5.1.1中“30秒”改为“30 s”；</w:t>
            </w:r>
          </w:p>
          <w:p w14:paraId="6D2A4EC1">
            <w:pPr>
              <w:pStyle w:val="19"/>
              <w:numPr>
                <w:ilvl w:val="0"/>
                <w:numId w:val="0"/>
              </w:numPr>
              <w:ind w:firstLine="420" w:firstLineChars="20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5.4.1中“1小时”改为“1 h”。</w:t>
            </w:r>
          </w:p>
        </w:tc>
        <w:tc>
          <w:tcPr>
            <w:tcW w:w="3225" w:type="dxa"/>
            <w:vAlign w:val="center"/>
          </w:tcPr>
          <w:p w14:paraId="01E9BA26">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宁夏食品安全协会</w:t>
            </w:r>
          </w:p>
        </w:tc>
        <w:tc>
          <w:tcPr>
            <w:tcW w:w="2732" w:type="dxa"/>
            <w:vAlign w:val="center"/>
          </w:tcPr>
          <w:p w14:paraId="704EE413">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4ECC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2F364C4B">
            <w:pPr>
              <w:adjustRightInd w:val="0"/>
              <w:snapToGrid w:val="0"/>
              <w:jc w:val="center"/>
              <w:rPr>
                <w:rFonts w:hint="eastAsia"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8</w:t>
            </w:r>
          </w:p>
        </w:tc>
        <w:tc>
          <w:tcPr>
            <w:tcW w:w="3503" w:type="dxa"/>
            <w:vAlign w:val="center"/>
          </w:tcPr>
          <w:p w14:paraId="6E169174">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附录A、附录B字体格式、表格格式</w:t>
            </w:r>
          </w:p>
        </w:tc>
        <w:tc>
          <w:tcPr>
            <w:tcW w:w="4230" w:type="dxa"/>
            <w:vAlign w:val="center"/>
          </w:tcPr>
          <w:p w14:paraId="1B0D8414">
            <w:pPr>
              <w:pStyle w:val="19"/>
              <w:numPr>
                <w:ilvl w:val="0"/>
                <w:numId w:val="0"/>
              </w:numPr>
              <w:ind w:firstLine="420" w:firstLineChars="20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附录A、附录B的表格中字体应使用小五号宋体，表头不加粗，跨页的表格要用续表表示。</w:t>
            </w:r>
          </w:p>
          <w:p w14:paraId="551F4333">
            <w:pPr>
              <w:pStyle w:val="19"/>
              <w:numPr>
                <w:ilvl w:val="0"/>
                <w:numId w:val="0"/>
              </w:numPr>
              <w:ind w:firstLine="420" w:firstLineChars="20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表格中相同内容改为通栏加文字说明，没有内容的地方用一字线表示。</w:t>
            </w:r>
          </w:p>
        </w:tc>
        <w:tc>
          <w:tcPr>
            <w:tcW w:w="3225" w:type="dxa"/>
            <w:vAlign w:val="center"/>
          </w:tcPr>
          <w:p w14:paraId="1DB29EEA">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宁夏食品安全协会</w:t>
            </w:r>
          </w:p>
        </w:tc>
        <w:tc>
          <w:tcPr>
            <w:tcW w:w="2732" w:type="dxa"/>
            <w:vAlign w:val="center"/>
          </w:tcPr>
          <w:p w14:paraId="41C247AD">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0F49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275BCC9A">
            <w:pPr>
              <w:adjustRightInd w:val="0"/>
              <w:snapToGrid w:val="0"/>
              <w:jc w:val="center"/>
              <w:rPr>
                <w:rFonts w:hint="eastAsia"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9</w:t>
            </w:r>
          </w:p>
        </w:tc>
        <w:tc>
          <w:tcPr>
            <w:tcW w:w="3503" w:type="dxa"/>
            <w:vAlign w:val="center"/>
          </w:tcPr>
          <w:p w14:paraId="4CFA59B9">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4.5 注意事项</w:t>
            </w:r>
          </w:p>
          <w:p w14:paraId="269E0557">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牛羊免疫接种前3日内禁止使用广谱抗生素，接种后2周内禁止使用广谱抗生素。</w:t>
            </w:r>
          </w:p>
          <w:p w14:paraId="13558C4E">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5.4.1 口服免疫</w:t>
            </w:r>
          </w:p>
          <w:p w14:paraId="0EB53E24">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免疫后禁食、禁水1小时。</w:t>
            </w:r>
          </w:p>
        </w:tc>
        <w:tc>
          <w:tcPr>
            <w:tcW w:w="4230" w:type="dxa"/>
            <w:vAlign w:val="center"/>
          </w:tcPr>
          <w:p w14:paraId="60C5DD98">
            <w:pPr>
              <w:pStyle w:val="19"/>
              <w:numPr>
                <w:ilvl w:val="0"/>
                <w:numId w:val="0"/>
              </w:numPr>
              <w:ind w:firstLine="420" w:firstLineChars="20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val="en-US" w:eastAsia="zh-CN"/>
              </w:rPr>
              <w:t>“禁止”和“不得”强制性标准中使用的词语。</w:t>
            </w:r>
            <w:r>
              <w:rPr>
                <w:rFonts w:hint="default" w:ascii="Times New Roman" w:hAnsi="Times New Roman" w:eastAsia="仿宋_GB2312" w:cs="Times New Roman"/>
                <w:color w:val="auto"/>
                <w:sz w:val="21"/>
                <w:szCs w:val="21"/>
                <w:lang w:eastAsia="zh-CN"/>
              </w:rPr>
              <w:t>改为“牛羊免疫接种前3日内和接种后2周内不应使用广谱抗生素”。“免疫后</w:t>
            </w:r>
            <w:r>
              <w:rPr>
                <w:rFonts w:hint="default" w:ascii="Times New Roman" w:hAnsi="Times New Roman" w:eastAsia="仿宋_GB2312" w:cs="Times New Roman"/>
                <w:color w:val="auto"/>
                <w:sz w:val="21"/>
                <w:szCs w:val="21"/>
                <w:lang w:val="en-US" w:eastAsia="zh-CN"/>
              </w:rPr>
              <w:t>1 h内不应进食和饮水</w:t>
            </w:r>
            <w:r>
              <w:rPr>
                <w:rFonts w:hint="default" w:ascii="Times New Roman" w:hAnsi="Times New Roman" w:eastAsia="仿宋_GB2312" w:cs="Times New Roman"/>
                <w:color w:val="auto"/>
                <w:sz w:val="21"/>
                <w:szCs w:val="21"/>
                <w:lang w:eastAsia="zh-CN"/>
              </w:rPr>
              <w:t>”</w:t>
            </w:r>
          </w:p>
        </w:tc>
        <w:tc>
          <w:tcPr>
            <w:tcW w:w="3225" w:type="dxa"/>
            <w:vAlign w:val="center"/>
          </w:tcPr>
          <w:p w14:paraId="17613052">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宁夏食品安全协会</w:t>
            </w:r>
          </w:p>
        </w:tc>
        <w:tc>
          <w:tcPr>
            <w:tcW w:w="2732" w:type="dxa"/>
            <w:vAlign w:val="center"/>
          </w:tcPr>
          <w:p w14:paraId="4896D445">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40292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06CCB247">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10</w:t>
            </w:r>
          </w:p>
        </w:tc>
        <w:tc>
          <w:tcPr>
            <w:tcW w:w="3503" w:type="dxa"/>
            <w:vAlign w:val="center"/>
          </w:tcPr>
          <w:p w14:paraId="034B89F3">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4.2 免疫人员</w:t>
            </w:r>
          </w:p>
          <w:p w14:paraId="6B67E9BD">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 掌握布病危害及防控 ...</w:t>
            </w:r>
          </w:p>
        </w:tc>
        <w:tc>
          <w:tcPr>
            <w:tcW w:w="4230" w:type="dxa"/>
            <w:vAlign w:val="center"/>
          </w:tcPr>
          <w:p w14:paraId="44DC3C0D">
            <w:pPr>
              <w:pStyle w:val="19"/>
              <w:numPr>
                <w:ilvl w:val="0"/>
                <w:numId w:val="0"/>
              </w:numPr>
              <w:ind w:firstLine="420" w:firstLineChars="20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“布病”用全称表述，改为“布鲁氏菌病”</w:t>
            </w:r>
          </w:p>
        </w:tc>
        <w:tc>
          <w:tcPr>
            <w:tcW w:w="3225" w:type="dxa"/>
            <w:vAlign w:val="center"/>
          </w:tcPr>
          <w:p w14:paraId="16823FF0">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宁夏动物卫生监督所</w:t>
            </w:r>
          </w:p>
        </w:tc>
        <w:tc>
          <w:tcPr>
            <w:tcW w:w="2732" w:type="dxa"/>
            <w:vAlign w:val="center"/>
          </w:tcPr>
          <w:p w14:paraId="091EA6EA">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40D2F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42BEA202">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11</w:t>
            </w:r>
          </w:p>
        </w:tc>
        <w:tc>
          <w:tcPr>
            <w:tcW w:w="3503" w:type="dxa"/>
            <w:shd w:val="clear" w:color="auto" w:fill="auto"/>
            <w:vAlign w:val="center"/>
          </w:tcPr>
          <w:p w14:paraId="481A5F6A">
            <w:pPr>
              <w:pStyle w:val="19"/>
              <w:ind w:firstLine="420" w:firstLineChars="20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1 范围</w:t>
            </w:r>
          </w:p>
          <w:p w14:paraId="0086D2EB">
            <w:pPr>
              <w:pStyle w:val="19"/>
              <w:ind w:firstLine="420" w:firstLineChars="20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color w:val="auto"/>
                <w:sz w:val="21"/>
                <w:szCs w:val="21"/>
                <w:lang w:val="en-US" w:eastAsia="zh-CN"/>
              </w:rPr>
              <w:t>本文件规定了牛羊布鲁氏菌病免疫接种时的免疫准备、免疫程序、免疫后处理、应急处置等内容。</w:t>
            </w:r>
          </w:p>
        </w:tc>
        <w:tc>
          <w:tcPr>
            <w:tcW w:w="4230" w:type="dxa"/>
            <w:shd w:val="clear" w:color="auto" w:fill="auto"/>
            <w:vAlign w:val="center"/>
          </w:tcPr>
          <w:p w14:paraId="036AD11A">
            <w:pPr>
              <w:pStyle w:val="19"/>
              <w:numPr>
                <w:ilvl w:val="0"/>
                <w:numId w:val="0"/>
              </w:numPr>
              <w:ind w:left="0" w:leftChars="0" w:firstLine="420" w:firstLineChars="20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建议改为“本文件规定了牛羊布鲁氏菌病免疫过程中免疫准备、免疫程序、免疫后处理、应急处置等内容。”</w:t>
            </w:r>
          </w:p>
        </w:tc>
        <w:tc>
          <w:tcPr>
            <w:tcW w:w="3225" w:type="dxa"/>
            <w:shd w:val="clear" w:color="auto" w:fill="auto"/>
            <w:vAlign w:val="center"/>
          </w:tcPr>
          <w:p w14:paraId="6E1B222A">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宁夏动物卫生监督所</w:t>
            </w:r>
          </w:p>
        </w:tc>
        <w:tc>
          <w:tcPr>
            <w:tcW w:w="2732" w:type="dxa"/>
            <w:shd w:val="clear" w:color="auto" w:fill="auto"/>
            <w:vAlign w:val="center"/>
          </w:tcPr>
          <w:p w14:paraId="01002556">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7A3BD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3EB89441">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12</w:t>
            </w:r>
          </w:p>
        </w:tc>
        <w:tc>
          <w:tcPr>
            <w:tcW w:w="3503" w:type="dxa"/>
            <w:shd w:val="clear" w:color="auto" w:fill="auto"/>
            <w:vAlign w:val="center"/>
          </w:tcPr>
          <w:p w14:paraId="0A0C4CED">
            <w:pPr>
              <w:pStyle w:val="19"/>
              <w:ind w:firstLine="420" w:firstLineChars="20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4.1.1 疫苗选择</w:t>
            </w:r>
          </w:p>
          <w:p w14:paraId="05F79788">
            <w:pPr>
              <w:pStyle w:val="19"/>
              <w:ind w:firstLine="420" w:firstLineChars="20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color w:val="auto"/>
                <w:sz w:val="21"/>
                <w:szCs w:val="21"/>
                <w:lang w:val="en-US" w:eastAsia="zh-CN"/>
              </w:rPr>
              <w:t>应符合《兽用生物制品经营管理办法》规定，产品信息可在中国兽药信息网“国家兽药基础信息查询”平台“兽药产品批准文号数据”中查询到。</w:t>
            </w:r>
          </w:p>
        </w:tc>
        <w:tc>
          <w:tcPr>
            <w:tcW w:w="4230" w:type="dxa"/>
            <w:shd w:val="clear" w:color="auto" w:fill="auto"/>
            <w:vAlign w:val="center"/>
          </w:tcPr>
          <w:p w14:paraId="39152EDA">
            <w:pPr>
              <w:pStyle w:val="19"/>
              <w:numPr>
                <w:ilvl w:val="0"/>
                <w:numId w:val="0"/>
              </w:numPr>
              <w:ind w:left="0" w:leftChars="0" w:firstLine="420" w:firstLineChars="20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建议改为“应符合《兽用生物制品经营管理办法》规定，产品信息可在中国兽药信息网“国家兽药基础信息查询”平台查询。”</w:t>
            </w:r>
          </w:p>
        </w:tc>
        <w:tc>
          <w:tcPr>
            <w:tcW w:w="3225" w:type="dxa"/>
            <w:shd w:val="clear" w:color="auto" w:fill="auto"/>
            <w:vAlign w:val="center"/>
          </w:tcPr>
          <w:p w14:paraId="355021CF">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宁夏动物卫生监督所</w:t>
            </w:r>
          </w:p>
        </w:tc>
        <w:tc>
          <w:tcPr>
            <w:tcW w:w="2732" w:type="dxa"/>
            <w:shd w:val="clear" w:color="auto" w:fill="auto"/>
            <w:vAlign w:val="center"/>
          </w:tcPr>
          <w:p w14:paraId="3F81BA78">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3CB8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2E6FD483">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13</w:t>
            </w:r>
          </w:p>
        </w:tc>
        <w:tc>
          <w:tcPr>
            <w:tcW w:w="3503" w:type="dxa"/>
            <w:shd w:val="clear" w:color="auto" w:fill="auto"/>
            <w:vAlign w:val="center"/>
          </w:tcPr>
          <w:p w14:paraId="1270B3B9">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4.1.1 疫苗选择</w:t>
            </w:r>
          </w:p>
          <w:p w14:paraId="6C2BCC57">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应符合《兽用生物制品经营管理办法》规定 ...</w:t>
            </w:r>
          </w:p>
          <w:p w14:paraId="7975F202">
            <w:pPr>
              <w:pStyle w:val="19"/>
              <w:ind w:firstLine="420" w:firstLineChars="200"/>
              <w:rPr>
                <w:rFonts w:hint="default" w:ascii="Times New Roman" w:hAnsi="Times New Roman" w:eastAsia="仿宋_GB2312" w:cs="Times New Roman"/>
                <w:b w:val="0"/>
                <w:color w:val="auto"/>
                <w:kern w:val="2"/>
                <w:sz w:val="21"/>
                <w:szCs w:val="21"/>
                <w:lang w:val="en-US" w:eastAsia="zh-CN" w:bidi="ar-SA"/>
              </w:rPr>
            </w:pPr>
            <w:r>
              <w:rPr>
                <w:rFonts w:hint="default" w:ascii="Times New Roman" w:hAnsi="Times New Roman" w:eastAsia="仿宋_GB2312" w:cs="Times New Roman"/>
                <w:b w:val="0"/>
                <w:color w:val="auto"/>
                <w:kern w:val="2"/>
                <w:sz w:val="21"/>
                <w:szCs w:val="21"/>
                <w:lang w:val="en-US" w:eastAsia="zh-CN"/>
              </w:rPr>
              <w:t>4.1.2.2 应符合《兽药管理条例》 ...</w:t>
            </w:r>
          </w:p>
        </w:tc>
        <w:tc>
          <w:tcPr>
            <w:tcW w:w="4230" w:type="dxa"/>
            <w:shd w:val="clear" w:color="auto" w:fill="auto"/>
            <w:vAlign w:val="center"/>
          </w:tcPr>
          <w:p w14:paraId="33EA264E">
            <w:pPr>
              <w:pStyle w:val="19"/>
              <w:numPr>
                <w:ilvl w:val="0"/>
                <w:numId w:val="0"/>
              </w:numPr>
              <w:ind w:left="0" w:leftChars="0" w:firstLine="420" w:firstLineChars="200"/>
              <w:rPr>
                <w:rFonts w:hint="default" w:ascii="Times New Roman" w:hAnsi="Times New Roman" w:eastAsia="仿宋_GB2312" w:cs="Times New Roman"/>
                <w:color w:val="auto"/>
                <w:sz w:val="21"/>
                <w:szCs w:val="21"/>
                <w:lang w:val="en-US" w:eastAsia="zh-CN" w:bidi="ar-SA"/>
              </w:rPr>
            </w:pPr>
            <w:r>
              <w:rPr>
                <w:rFonts w:hint="default" w:ascii="Times New Roman" w:hAnsi="Times New Roman" w:eastAsia="仿宋_GB2312" w:cs="Times New Roman"/>
                <w:color w:val="auto"/>
                <w:sz w:val="21"/>
                <w:szCs w:val="21"/>
                <w:lang w:val="en-US" w:eastAsia="zh-CN"/>
              </w:rPr>
              <w:t>建议将引用的规范性文件列入参考文献中</w:t>
            </w:r>
          </w:p>
        </w:tc>
        <w:tc>
          <w:tcPr>
            <w:tcW w:w="3225" w:type="dxa"/>
            <w:shd w:val="clear" w:color="auto" w:fill="auto"/>
            <w:vAlign w:val="center"/>
          </w:tcPr>
          <w:p w14:paraId="237D07CA">
            <w:pPr>
              <w:adjustRightInd w:val="0"/>
              <w:snapToGrid w:val="0"/>
              <w:jc w:val="center"/>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sz w:val="21"/>
                <w:szCs w:val="21"/>
                <w:lang w:val="en-US" w:eastAsia="zh-CN"/>
              </w:rPr>
              <w:t>宁夏兽药饲料监察所</w:t>
            </w:r>
          </w:p>
        </w:tc>
        <w:tc>
          <w:tcPr>
            <w:tcW w:w="2732" w:type="dxa"/>
            <w:shd w:val="clear" w:color="auto" w:fill="auto"/>
            <w:vAlign w:val="center"/>
          </w:tcPr>
          <w:p w14:paraId="195F0C0F">
            <w:pPr>
              <w:adjustRightInd w:val="0"/>
              <w:snapToGrid w:val="0"/>
              <w:jc w:val="center"/>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sz w:val="21"/>
                <w:szCs w:val="21"/>
                <w:lang w:eastAsia="zh-CN"/>
              </w:rPr>
              <w:t>全部采纳</w:t>
            </w:r>
          </w:p>
        </w:tc>
      </w:tr>
      <w:tr w14:paraId="03E8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420E9D63">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14</w:t>
            </w:r>
          </w:p>
        </w:tc>
        <w:tc>
          <w:tcPr>
            <w:tcW w:w="3503" w:type="dxa"/>
            <w:vAlign w:val="center"/>
          </w:tcPr>
          <w:p w14:paraId="141598D1">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4.3.1 免疫器械</w:t>
            </w:r>
          </w:p>
        </w:tc>
        <w:tc>
          <w:tcPr>
            <w:tcW w:w="4230" w:type="dxa"/>
            <w:vAlign w:val="center"/>
          </w:tcPr>
          <w:p w14:paraId="01B09EDA">
            <w:pPr>
              <w:pStyle w:val="19"/>
              <w:numPr>
                <w:ilvl w:val="0"/>
                <w:numId w:val="0"/>
              </w:numPr>
              <w:ind w:firstLine="420" w:firstLineChars="20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建议增加“耳标钳”</w:t>
            </w:r>
          </w:p>
        </w:tc>
        <w:tc>
          <w:tcPr>
            <w:tcW w:w="3225" w:type="dxa"/>
            <w:vAlign w:val="center"/>
          </w:tcPr>
          <w:p w14:paraId="26424527">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利通区动物疾病预防控制中心</w:t>
            </w:r>
          </w:p>
        </w:tc>
        <w:tc>
          <w:tcPr>
            <w:tcW w:w="2732" w:type="dxa"/>
            <w:vAlign w:val="center"/>
          </w:tcPr>
          <w:p w14:paraId="1E819DC4">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7233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0EFBFFC3">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15</w:t>
            </w:r>
          </w:p>
        </w:tc>
        <w:tc>
          <w:tcPr>
            <w:tcW w:w="3503" w:type="dxa"/>
            <w:vAlign w:val="center"/>
          </w:tcPr>
          <w:p w14:paraId="04235E4B">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5.1.1 个人防护穿戴要求</w:t>
            </w:r>
          </w:p>
          <w:p w14:paraId="0D757227">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穿戴防护用品前用流水或肥皂水洗手30 s ...</w:t>
            </w:r>
          </w:p>
        </w:tc>
        <w:tc>
          <w:tcPr>
            <w:tcW w:w="4230" w:type="dxa"/>
            <w:vAlign w:val="center"/>
          </w:tcPr>
          <w:p w14:paraId="04F2BB45">
            <w:pPr>
              <w:pStyle w:val="19"/>
              <w:numPr>
                <w:ilvl w:val="0"/>
                <w:numId w:val="0"/>
              </w:numPr>
              <w:ind w:firstLine="420" w:firstLineChars="20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建议考虑实操中增加使用消毒药清洁手部便利性，修改为“</w:t>
            </w:r>
            <w:r>
              <w:rPr>
                <w:rFonts w:hint="default" w:ascii="Times New Roman" w:hAnsi="Times New Roman" w:eastAsia="仿宋_GB2312" w:cs="Times New Roman"/>
                <w:b w:val="0"/>
                <w:color w:val="auto"/>
                <w:kern w:val="2"/>
                <w:sz w:val="21"/>
                <w:szCs w:val="21"/>
                <w:lang w:val="en-US" w:eastAsia="zh-CN"/>
              </w:rPr>
              <w:t>穿戴防护用品前用流水或肥皂水洗手30 s，或75 %酒精擦拭手部保持湿润30 s</w:t>
            </w:r>
            <w:r>
              <w:rPr>
                <w:rFonts w:hint="default" w:ascii="Times New Roman" w:hAnsi="Times New Roman" w:eastAsia="仿宋_GB2312" w:cs="Times New Roman"/>
                <w:color w:val="auto"/>
                <w:sz w:val="21"/>
                <w:szCs w:val="21"/>
                <w:lang w:eastAsia="zh-CN"/>
              </w:rPr>
              <w:t>”</w:t>
            </w:r>
          </w:p>
        </w:tc>
        <w:tc>
          <w:tcPr>
            <w:tcW w:w="3225" w:type="dxa"/>
            <w:vAlign w:val="center"/>
          </w:tcPr>
          <w:p w14:paraId="0FE0F673">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盐池县动物疾病预防控制中心</w:t>
            </w:r>
          </w:p>
        </w:tc>
        <w:tc>
          <w:tcPr>
            <w:tcW w:w="2732" w:type="dxa"/>
            <w:vAlign w:val="center"/>
          </w:tcPr>
          <w:p w14:paraId="6A7679AC">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295B3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6726F209">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16</w:t>
            </w:r>
          </w:p>
        </w:tc>
        <w:tc>
          <w:tcPr>
            <w:tcW w:w="3503" w:type="dxa"/>
            <w:vAlign w:val="center"/>
          </w:tcPr>
          <w:p w14:paraId="02DC00DC">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5.2 牛羊保定</w:t>
            </w:r>
          </w:p>
          <w:p w14:paraId="7E1682B8">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根据牛、羊实际情况可选择徒手、器具或其他适当的方式进行保定，必要时可有保定辅助人员协助。</w:t>
            </w:r>
          </w:p>
        </w:tc>
        <w:tc>
          <w:tcPr>
            <w:tcW w:w="4230" w:type="dxa"/>
            <w:vAlign w:val="center"/>
          </w:tcPr>
          <w:p w14:paraId="17BEB102">
            <w:pPr>
              <w:pStyle w:val="19"/>
              <w:ind w:firstLine="42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b w:val="0"/>
                <w:color w:val="auto"/>
                <w:kern w:val="2"/>
                <w:sz w:val="21"/>
                <w:szCs w:val="21"/>
                <w:lang w:val="en-US" w:eastAsia="zh-CN"/>
              </w:rPr>
              <w:t>建议修改为“根据牛、羊实际情况可选择器具或其他适当的方式进行保定，必要时可有保定辅助人员协助。”</w:t>
            </w:r>
          </w:p>
        </w:tc>
        <w:tc>
          <w:tcPr>
            <w:tcW w:w="3225" w:type="dxa"/>
            <w:vAlign w:val="center"/>
          </w:tcPr>
          <w:p w14:paraId="27B590A0">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盐池县动物疾病预防控制中心</w:t>
            </w:r>
          </w:p>
        </w:tc>
        <w:tc>
          <w:tcPr>
            <w:tcW w:w="2732" w:type="dxa"/>
            <w:vAlign w:val="center"/>
          </w:tcPr>
          <w:p w14:paraId="4DD1F99A">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2492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5194F7EC">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17</w:t>
            </w:r>
          </w:p>
        </w:tc>
        <w:tc>
          <w:tcPr>
            <w:tcW w:w="3503" w:type="dxa"/>
            <w:vAlign w:val="center"/>
          </w:tcPr>
          <w:p w14:paraId="68347B7A">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5.3 局部消毒</w:t>
            </w:r>
          </w:p>
          <w:p w14:paraId="79F282C4">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采用皮下注射和肌肉注射的接种方式时，应用酒精棉球对注射部位局部进行消毒。口服和点眼接种方式时不需要。</w:t>
            </w:r>
          </w:p>
        </w:tc>
        <w:tc>
          <w:tcPr>
            <w:tcW w:w="4230" w:type="dxa"/>
            <w:vAlign w:val="center"/>
          </w:tcPr>
          <w:p w14:paraId="35EEA328">
            <w:pPr>
              <w:pStyle w:val="19"/>
              <w:ind w:firstLine="42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b w:val="0"/>
                <w:color w:val="auto"/>
                <w:kern w:val="2"/>
                <w:sz w:val="21"/>
                <w:szCs w:val="21"/>
                <w:lang w:val="en-US" w:eastAsia="zh-CN"/>
              </w:rPr>
              <w:t>建议增加局部消毒用药，改为“采用皮下注射和肌肉注射的接种方式时，应用酒精棉球或碘酊对注射部位局部进行消毒。口服和点眼接种方式时不需要。”</w:t>
            </w:r>
          </w:p>
        </w:tc>
        <w:tc>
          <w:tcPr>
            <w:tcW w:w="3225" w:type="dxa"/>
            <w:vAlign w:val="center"/>
          </w:tcPr>
          <w:p w14:paraId="4ACDE7F6">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吴忠市动物疾病预防控制中心</w:t>
            </w:r>
          </w:p>
        </w:tc>
        <w:tc>
          <w:tcPr>
            <w:tcW w:w="2732" w:type="dxa"/>
            <w:vAlign w:val="center"/>
          </w:tcPr>
          <w:p w14:paraId="015E6FC7">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42C38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5AA5D34E">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18</w:t>
            </w:r>
          </w:p>
        </w:tc>
        <w:tc>
          <w:tcPr>
            <w:tcW w:w="3503" w:type="dxa"/>
            <w:vAlign w:val="center"/>
          </w:tcPr>
          <w:p w14:paraId="01AD8B5B">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5.5 佩戴免疫耳标与免疫档案</w:t>
            </w:r>
          </w:p>
          <w:p w14:paraId="05E65916">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所有免疫动物应佩戴免疫耳标，在宁夏牧运通平台填报免疫档案。</w:t>
            </w:r>
          </w:p>
        </w:tc>
        <w:tc>
          <w:tcPr>
            <w:tcW w:w="4230" w:type="dxa"/>
            <w:vAlign w:val="center"/>
          </w:tcPr>
          <w:p w14:paraId="3F58235D">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建议改为“所有免疫动物应佩戴免疫耳标或已有免疫标识的牛羊将原有的信息录入在宁夏牧运通平台填报免疫档案”</w:t>
            </w:r>
          </w:p>
        </w:tc>
        <w:tc>
          <w:tcPr>
            <w:tcW w:w="3225" w:type="dxa"/>
            <w:vAlign w:val="center"/>
          </w:tcPr>
          <w:p w14:paraId="5F542F44">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银川市动物疾病预防控制中心</w:t>
            </w:r>
          </w:p>
        </w:tc>
        <w:tc>
          <w:tcPr>
            <w:tcW w:w="2732" w:type="dxa"/>
            <w:vAlign w:val="center"/>
          </w:tcPr>
          <w:p w14:paraId="348EA409">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3E3A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5836AD66">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19</w:t>
            </w:r>
          </w:p>
        </w:tc>
        <w:tc>
          <w:tcPr>
            <w:tcW w:w="3503" w:type="dxa"/>
            <w:vAlign w:val="center"/>
          </w:tcPr>
          <w:p w14:paraId="1A9CFC67">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6.1 废弃物处理</w:t>
            </w:r>
          </w:p>
          <w:p w14:paraId="37AC1A6D">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用完的疫苗瓶、器具和未用完的疫苗等应装入医用包装袋内暂存,置于医用垃圾桶内...</w:t>
            </w:r>
          </w:p>
        </w:tc>
        <w:tc>
          <w:tcPr>
            <w:tcW w:w="4230" w:type="dxa"/>
            <w:vAlign w:val="center"/>
          </w:tcPr>
          <w:p w14:paraId="2B5D83A4">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建议改为“用完的疫苗瓶、器具和未用完的疫苗等用消毒药液浸泡10-30分钟后应装入医用包装袋内暂存,置于医用垃圾桶内”</w:t>
            </w:r>
          </w:p>
        </w:tc>
        <w:tc>
          <w:tcPr>
            <w:tcW w:w="3225" w:type="dxa"/>
            <w:vAlign w:val="center"/>
          </w:tcPr>
          <w:p w14:paraId="58BD7B68">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彭阳县动物疾病预防控制中心</w:t>
            </w:r>
          </w:p>
        </w:tc>
        <w:tc>
          <w:tcPr>
            <w:tcW w:w="2732" w:type="dxa"/>
            <w:vAlign w:val="center"/>
          </w:tcPr>
          <w:p w14:paraId="1DCB26C0">
            <w:pPr>
              <w:adjustRightInd w:val="0"/>
              <w:snapToGrid w:val="0"/>
              <w:jc w:val="both"/>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不采纳，原因是①无明确法规或技术标准支持此操作；②该操作可能增加操作者暴露风险、消毒效果可能不确定、更可能造成二次污染等。</w:t>
            </w:r>
          </w:p>
        </w:tc>
      </w:tr>
      <w:tr w14:paraId="4DBA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716312FD">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20</w:t>
            </w:r>
          </w:p>
        </w:tc>
        <w:tc>
          <w:tcPr>
            <w:tcW w:w="3503" w:type="dxa"/>
            <w:vAlign w:val="center"/>
          </w:tcPr>
          <w:p w14:paraId="43897931">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4.5 注意事项</w:t>
            </w:r>
          </w:p>
          <w:p w14:paraId="46987B3C">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牛羊免疫接种前3日内禁止使用广谱抗生素，接种后2周内禁止使用广谱抗生素。</w:t>
            </w:r>
          </w:p>
        </w:tc>
        <w:tc>
          <w:tcPr>
            <w:tcW w:w="4230" w:type="dxa"/>
            <w:vAlign w:val="center"/>
          </w:tcPr>
          <w:p w14:paraId="2DD02B3A">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建议改为“选择临床检查健康应免牛羊实施免疫，免疫接种前3日内和接种后2周内不应使用广谱抗生素。”</w:t>
            </w:r>
          </w:p>
        </w:tc>
        <w:tc>
          <w:tcPr>
            <w:tcW w:w="3225" w:type="dxa"/>
            <w:vAlign w:val="center"/>
          </w:tcPr>
          <w:p w14:paraId="29D359A1">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彭阳县动物疾病预防控制中心</w:t>
            </w:r>
          </w:p>
        </w:tc>
        <w:tc>
          <w:tcPr>
            <w:tcW w:w="2732" w:type="dxa"/>
            <w:vAlign w:val="center"/>
          </w:tcPr>
          <w:p w14:paraId="56F97FE7">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2FF06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6E05DBD2">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21</w:t>
            </w:r>
          </w:p>
        </w:tc>
        <w:tc>
          <w:tcPr>
            <w:tcW w:w="3503" w:type="dxa"/>
            <w:vAlign w:val="center"/>
          </w:tcPr>
          <w:p w14:paraId="31A32630">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 免疫准备</w:t>
            </w:r>
          </w:p>
        </w:tc>
        <w:tc>
          <w:tcPr>
            <w:tcW w:w="4230" w:type="dxa"/>
            <w:vAlign w:val="center"/>
          </w:tcPr>
          <w:p w14:paraId="69D2D31D">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color w:val="auto"/>
                <w:sz w:val="21"/>
                <w:szCs w:val="21"/>
                <w:lang w:val="en-US" w:eastAsia="zh-CN"/>
              </w:rPr>
              <w:t>建议在免疫准备中增加免疫时间，免疫应避开炎热、刮风、极冷等极端天气和怀孕、分娩高峰期，可选择春秋季节进行。</w:t>
            </w:r>
          </w:p>
        </w:tc>
        <w:tc>
          <w:tcPr>
            <w:tcW w:w="3225" w:type="dxa"/>
            <w:vAlign w:val="center"/>
          </w:tcPr>
          <w:p w14:paraId="4219942A">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固原市动物疾病预防控制中心</w:t>
            </w:r>
          </w:p>
        </w:tc>
        <w:tc>
          <w:tcPr>
            <w:tcW w:w="2732" w:type="dxa"/>
            <w:vAlign w:val="center"/>
          </w:tcPr>
          <w:p w14:paraId="3FA4D0C1">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7316D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562017A6">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22</w:t>
            </w:r>
          </w:p>
        </w:tc>
        <w:tc>
          <w:tcPr>
            <w:tcW w:w="3503" w:type="dxa"/>
            <w:vAlign w:val="center"/>
          </w:tcPr>
          <w:p w14:paraId="58E12C17">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4.3.5 其他要求</w:t>
            </w:r>
          </w:p>
          <w:p w14:paraId="0F8E794E">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连续注射器、针头经湿热高压灭菌后才能使用，灭菌后的免疫器材应放入灭菌盒内。针头灭菌时应用纱布包好，以防附着水垢。灭菌超过7天的，在免疫时应重新灭菌。</w:t>
            </w:r>
          </w:p>
        </w:tc>
        <w:tc>
          <w:tcPr>
            <w:tcW w:w="4230" w:type="dxa"/>
            <w:vAlign w:val="center"/>
          </w:tcPr>
          <w:p w14:paraId="5C43696B">
            <w:pPr>
              <w:pStyle w:val="19"/>
              <w:ind w:firstLine="42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建议增加“</w:t>
            </w:r>
            <w:r>
              <w:rPr>
                <w:rFonts w:hint="default" w:ascii="Times New Roman" w:hAnsi="Times New Roman" w:eastAsia="仿宋_GB2312" w:cs="Times New Roman"/>
                <w:color w:val="auto"/>
                <w:kern w:val="2"/>
                <w:sz w:val="21"/>
                <w:szCs w:val="21"/>
                <w:lang w:val="en-US" w:eastAsia="zh-CN" w:bidi="ar-SA"/>
              </w:rPr>
              <w:t>使用前应对对连续注射器、投药器（或投药抢）各部位进行仔细检查和测试，确保器械封闭严密、无堵塞。</w:t>
            </w:r>
            <w:r>
              <w:rPr>
                <w:rFonts w:hint="default" w:ascii="Times New Roman" w:hAnsi="Times New Roman" w:eastAsia="仿宋_GB2312" w:cs="Times New Roman"/>
                <w:color w:val="auto"/>
                <w:sz w:val="21"/>
                <w:szCs w:val="21"/>
                <w:lang w:val="en-US" w:eastAsia="zh-CN"/>
              </w:rPr>
              <w:t>”</w:t>
            </w:r>
          </w:p>
        </w:tc>
        <w:tc>
          <w:tcPr>
            <w:tcW w:w="3225" w:type="dxa"/>
            <w:vAlign w:val="center"/>
          </w:tcPr>
          <w:p w14:paraId="45DE7100">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中卫市动物疾病预防控制中心</w:t>
            </w:r>
          </w:p>
        </w:tc>
        <w:tc>
          <w:tcPr>
            <w:tcW w:w="2732" w:type="dxa"/>
            <w:vAlign w:val="center"/>
          </w:tcPr>
          <w:p w14:paraId="24DB52FF">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1C93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6CC94139">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23</w:t>
            </w:r>
          </w:p>
        </w:tc>
        <w:tc>
          <w:tcPr>
            <w:tcW w:w="3503" w:type="dxa"/>
            <w:vAlign w:val="center"/>
          </w:tcPr>
          <w:p w14:paraId="3606977E">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4.5 注意事项</w:t>
            </w:r>
          </w:p>
          <w:p w14:paraId="2091BAA5">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牛羊免疫接种前3日内禁止使用广谱抗生素，接种后2周内禁止使用广谱抗生素。</w:t>
            </w:r>
          </w:p>
        </w:tc>
        <w:tc>
          <w:tcPr>
            <w:tcW w:w="4230" w:type="dxa"/>
            <w:vAlign w:val="center"/>
          </w:tcPr>
          <w:p w14:paraId="394E39CE">
            <w:pPr>
              <w:pStyle w:val="19"/>
              <w:ind w:firstLine="42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建议增加“</w:t>
            </w:r>
            <w:r>
              <w:rPr>
                <w:rFonts w:hint="default" w:ascii="Times New Roman" w:hAnsi="Times New Roman" w:eastAsia="仿宋_GB2312" w:cs="Times New Roman"/>
                <w:color w:val="auto"/>
                <w:sz w:val="21"/>
                <w:szCs w:val="21"/>
                <w:lang w:eastAsia="zh-CN"/>
              </w:rPr>
              <w:t>免疫过程中，操作人员手部禁止接触嘴、眼等部位，禁止饮食、吸烟、接听电话等。</w:t>
            </w:r>
            <w:r>
              <w:rPr>
                <w:rFonts w:hint="default" w:ascii="Times New Roman" w:hAnsi="Times New Roman" w:eastAsia="仿宋_GB2312" w:cs="Times New Roman"/>
                <w:color w:val="auto"/>
                <w:sz w:val="21"/>
                <w:szCs w:val="21"/>
                <w:lang w:val="en-US" w:eastAsia="zh-CN"/>
              </w:rPr>
              <w:t>”</w:t>
            </w:r>
          </w:p>
        </w:tc>
        <w:tc>
          <w:tcPr>
            <w:tcW w:w="3225" w:type="dxa"/>
            <w:vAlign w:val="center"/>
          </w:tcPr>
          <w:p w14:paraId="3246FFDC">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灵武市动物疾病预防控制中心</w:t>
            </w:r>
          </w:p>
        </w:tc>
        <w:tc>
          <w:tcPr>
            <w:tcW w:w="2732" w:type="dxa"/>
            <w:vAlign w:val="center"/>
          </w:tcPr>
          <w:p w14:paraId="23F3780E">
            <w:pPr>
              <w:adjustRightInd w:val="0"/>
              <w:snapToGrid w:val="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全部采纳</w:t>
            </w:r>
          </w:p>
        </w:tc>
      </w:tr>
      <w:tr w14:paraId="2C0C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1C8C3C88">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24</w:t>
            </w:r>
          </w:p>
        </w:tc>
        <w:tc>
          <w:tcPr>
            <w:tcW w:w="3503" w:type="dxa"/>
            <w:vAlign w:val="center"/>
          </w:tcPr>
          <w:p w14:paraId="72B41B41">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5.4.1 口服免疫</w:t>
            </w:r>
          </w:p>
          <w:p w14:paraId="0183D2E9">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保定好羊只，使用专用投药器将投药弯管从口角处插入免疫羊口腔深部，喷至咽部或舌底。应避免羊口腔直接面向操作人员。免疫后1 h内不应进食和饮水。</w:t>
            </w:r>
          </w:p>
        </w:tc>
        <w:tc>
          <w:tcPr>
            <w:tcW w:w="4230" w:type="dxa"/>
            <w:vAlign w:val="center"/>
          </w:tcPr>
          <w:p w14:paraId="33F4CCF9">
            <w:pPr>
              <w:pStyle w:val="19"/>
              <w:ind w:firstLine="42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建议增加“</w:t>
            </w:r>
            <w:r>
              <w:rPr>
                <w:rFonts w:hint="default" w:ascii="Times New Roman" w:hAnsi="Times New Roman" w:eastAsia="仿宋_GB2312" w:cs="Times New Roman"/>
                <w:color w:val="auto"/>
                <w:sz w:val="21"/>
                <w:szCs w:val="21"/>
                <w:lang w:eastAsia="zh-CN"/>
              </w:rPr>
              <w:t>免疫人员应站至上风处，避免被污染空气感染操作人员。</w:t>
            </w:r>
            <w:r>
              <w:rPr>
                <w:rFonts w:hint="default" w:ascii="Times New Roman" w:hAnsi="Times New Roman" w:eastAsia="仿宋_GB2312" w:cs="Times New Roman"/>
                <w:color w:val="auto"/>
                <w:sz w:val="21"/>
                <w:szCs w:val="21"/>
                <w:lang w:val="en-US" w:eastAsia="zh-CN"/>
              </w:rPr>
              <w:t>”</w:t>
            </w:r>
          </w:p>
        </w:tc>
        <w:tc>
          <w:tcPr>
            <w:tcW w:w="3225" w:type="dxa"/>
            <w:vAlign w:val="center"/>
          </w:tcPr>
          <w:p w14:paraId="78DA1AFB">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灵武市动物疾病预防控制中心</w:t>
            </w:r>
          </w:p>
        </w:tc>
        <w:tc>
          <w:tcPr>
            <w:tcW w:w="2732" w:type="dxa"/>
            <w:vAlign w:val="center"/>
          </w:tcPr>
          <w:p w14:paraId="0EB28FB5">
            <w:pPr>
              <w:adjustRightInd w:val="0"/>
              <w:snapToGrid w:val="0"/>
              <w:jc w:val="both"/>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不采纳，原因是①场地条件限制，免疫常在羊圈或户外进行，风向多变且不稳定，无法始终保持上风处；②要求免疫人员频繁移动寻找上风处，严重影响保定和投药的精准度与效率，不具备普遍可行的操作条件，更可能降低免疫质量和效率。</w:t>
            </w:r>
          </w:p>
        </w:tc>
      </w:tr>
      <w:tr w14:paraId="17089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451AA6DC">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25</w:t>
            </w:r>
          </w:p>
        </w:tc>
        <w:tc>
          <w:tcPr>
            <w:tcW w:w="3503" w:type="dxa"/>
            <w:vAlign w:val="center"/>
          </w:tcPr>
          <w:p w14:paraId="7E90686A">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2 规范性引用文件</w:t>
            </w:r>
          </w:p>
          <w:p w14:paraId="6EE05AF6">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本文件没有规范性引用文件。</w:t>
            </w:r>
          </w:p>
        </w:tc>
        <w:tc>
          <w:tcPr>
            <w:tcW w:w="4230" w:type="dxa"/>
            <w:vAlign w:val="center"/>
          </w:tcPr>
          <w:p w14:paraId="14414F2F">
            <w:pPr>
              <w:pStyle w:val="19"/>
              <w:ind w:firstLine="42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建议修改为“下列文件中的内容通过文中的规范性引用而构成本文件必不可少的条款。…… GB/T XXXXX（如有） 《兽用生物制品管理办法》 《兽药管理条例》”。</w:t>
            </w:r>
          </w:p>
        </w:tc>
        <w:tc>
          <w:tcPr>
            <w:tcW w:w="3225" w:type="dxa"/>
            <w:vAlign w:val="center"/>
          </w:tcPr>
          <w:p w14:paraId="642415E0">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惠农区动物疾病预防控制中心</w:t>
            </w:r>
          </w:p>
        </w:tc>
        <w:tc>
          <w:tcPr>
            <w:tcW w:w="2732" w:type="dxa"/>
            <w:vAlign w:val="center"/>
          </w:tcPr>
          <w:p w14:paraId="0189F062">
            <w:pPr>
              <w:adjustRightInd w:val="0"/>
              <w:snapToGrid w:val="0"/>
              <w:jc w:val="both"/>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不采纳，原因是不符合GB/T 1.1-2020，规章条例不列入规范性引用文件。</w:t>
            </w:r>
          </w:p>
        </w:tc>
      </w:tr>
      <w:tr w14:paraId="239B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60" w:type="dxa"/>
            <w:vAlign w:val="center"/>
          </w:tcPr>
          <w:p w14:paraId="4AB91B2B">
            <w:pPr>
              <w:adjustRightInd w:val="0"/>
              <w:snapToGrid w:val="0"/>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26</w:t>
            </w:r>
          </w:p>
        </w:tc>
        <w:tc>
          <w:tcPr>
            <w:tcW w:w="3503" w:type="dxa"/>
            <w:vAlign w:val="center"/>
          </w:tcPr>
          <w:p w14:paraId="5BFA990A">
            <w:pPr>
              <w:pStyle w:val="19"/>
              <w:ind w:firstLine="420"/>
              <w:rPr>
                <w:rFonts w:hint="default" w:ascii="Times New Roman" w:hAnsi="Times New Roman" w:eastAsia="仿宋_GB2312" w:cs="Times New Roman"/>
                <w:b w:val="0"/>
                <w:color w:val="auto"/>
                <w:kern w:val="2"/>
                <w:sz w:val="21"/>
                <w:szCs w:val="21"/>
                <w:lang w:val="en-US" w:eastAsia="zh-CN"/>
              </w:rPr>
            </w:pPr>
            <w:r>
              <w:rPr>
                <w:rFonts w:hint="default" w:ascii="Times New Roman" w:hAnsi="Times New Roman" w:eastAsia="仿宋_GB2312" w:cs="Times New Roman"/>
                <w:b w:val="0"/>
                <w:color w:val="auto"/>
                <w:kern w:val="2"/>
                <w:sz w:val="21"/>
                <w:szCs w:val="21"/>
                <w:lang w:val="en-US" w:eastAsia="zh-CN"/>
              </w:rPr>
              <w:t>4.1.2.2 应符合《兽药管理条例》，有疫苗的入库和发放使用记录。</w:t>
            </w:r>
          </w:p>
        </w:tc>
        <w:tc>
          <w:tcPr>
            <w:tcW w:w="4230" w:type="dxa"/>
            <w:vAlign w:val="center"/>
          </w:tcPr>
          <w:p w14:paraId="6AEADA12">
            <w:pPr>
              <w:pStyle w:val="19"/>
              <w:ind w:firstLine="420"/>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建议修改为“疫苗的管理应符合《兽药管理条例》的规定，并建立完整的入库、发放和使用记录。”</w:t>
            </w:r>
          </w:p>
        </w:tc>
        <w:tc>
          <w:tcPr>
            <w:tcW w:w="3225" w:type="dxa"/>
            <w:vAlign w:val="center"/>
          </w:tcPr>
          <w:p w14:paraId="51968462">
            <w:pPr>
              <w:adjustRightInd w:val="0"/>
              <w:snapToGrid w:val="0"/>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惠农区动物疾病预防控制中心</w:t>
            </w:r>
          </w:p>
        </w:tc>
        <w:tc>
          <w:tcPr>
            <w:tcW w:w="2732" w:type="dxa"/>
            <w:vAlign w:val="center"/>
          </w:tcPr>
          <w:p w14:paraId="6F604D53">
            <w:pPr>
              <w:adjustRightInd w:val="0"/>
              <w:snapToGrid w:val="0"/>
              <w:jc w:val="both"/>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eastAsia="zh-CN"/>
              </w:rPr>
              <w:t>不采纳，原因是原有表述已清晰明了、简洁无歧义，</w:t>
            </w:r>
            <w:r>
              <w:rPr>
                <w:rFonts w:hint="default" w:ascii="Times New Roman" w:hAnsi="Times New Roman" w:eastAsia="仿宋_GB2312" w:cs="Times New Roman"/>
                <w:color w:val="auto"/>
                <w:sz w:val="21"/>
                <w:szCs w:val="21"/>
                <w:lang w:val="en-US" w:eastAsia="zh-CN"/>
              </w:rPr>
              <w:t>不必要多增加字数表述。</w:t>
            </w:r>
          </w:p>
        </w:tc>
      </w:tr>
    </w:tbl>
    <w:p w14:paraId="1ECE476F">
      <w:pPr>
        <w:rPr>
          <w:rFonts w:hint="eastAsia"/>
        </w:rPr>
      </w:pP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1"/>
      <w:suff w:val="nothing"/>
      <w:lvlText w:val="%1　"/>
      <w:lvlJc w:val="left"/>
      <w:pPr>
        <w:ind w:left="420" w:firstLine="0"/>
      </w:pPr>
      <w:rPr>
        <w:rFonts w:hint="eastAsia" w:ascii="黑体" w:hAnsi="Times New Roman" w:eastAsia="黑体"/>
        <w:b w:val="0"/>
        <w:i w:val="0"/>
        <w:sz w:val="21"/>
        <w:szCs w:val="21"/>
      </w:rPr>
    </w:lvl>
    <w:lvl w:ilvl="1" w:tentative="0">
      <w:start w:val="1"/>
      <w:numFmt w:val="decimal"/>
      <w:pStyle w:val="1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2"/>
      <w:suff w:val="nothing"/>
      <w:lvlText w:val="%1.%2.%3　"/>
      <w:lvlJc w:val="left"/>
      <w:pPr>
        <w:ind w:left="420" w:firstLine="0"/>
      </w:pPr>
      <w:rPr>
        <w:rFonts w:hint="eastAsia" w:ascii="黑体" w:hAnsi="Times New Roman" w:eastAsia="黑体"/>
        <w:b w:val="0"/>
        <w:i w:val="0"/>
        <w:sz w:val="21"/>
      </w:rPr>
    </w:lvl>
    <w:lvl w:ilvl="3" w:tentative="0">
      <w:start w:val="1"/>
      <w:numFmt w:val="decimal"/>
      <w:pStyle w:val="13"/>
      <w:suff w:val="nothing"/>
      <w:lvlText w:val="%1.%2.%3.%4　"/>
      <w:lvlJc w:val="left"/>
      <w:pPr>
        <w:ind w:left="420" w:firstLine="0"/>
      </w:pPr>
      <w:rPr>
        <w:rFonts w:hint="eastAsia" w:ascii="黑体" w:hAnsi="Times New Roman" w:eastAsia="黑体"/>
        <w:b w:val="0"/>
        <w:i w:val="0"/>
        <w:sz w:val="21"/>
      </w:rPr>
    </w:lvl>
    <w:lvl w:ilvl="4" w:tentative="0">
      <w:start w:val="1"/>
      <w:numFmt w:val="decimal"/>
      <w:pStyle w:val="14"/>
      <w:suff w:val="nothing"/>
      <w:lvlText w:val="%1.%2.%3.%4.%5　"/>
      <w:lvlJc w:val="left"/>
      <w:pPr>
        <w:ind w:left="420" w:firstLine="0"/>
      </w:pPr>
      <w:rPr>
        <w:rFonts w:hint="eastAsia" w:ascii="黑体" w:hAnsi="Times New Roman" w:eastAsia="黑体"/>
        <w:b w:val="0"/>
        <w:i w:val="0"/>
        <w:sz w:val="21"/>
      </w:rPr>
    </w:lvl>
    <w:lvl w:ilvl="5" w:tentative="0">
      <w:start w:val="1"/>
      <w:numFmt w:val="decimal"/>
      <w:pStyle w:val="15"/>
      <w:suff w:val="nothing"/>
      <w:lvlText w:val="%1.%2.%3.%4.%5.%6　"/>
      <w:lvlJc w:val="left"/>
      <w:pPr>
        <w:ind w:left="420" w:firstLine="0"/>
      </w:pPr>
      <w:rPr>
        <w:rFonts w:hint="eastAsia" w:ascii="黑体" w:hAnsi="Times New Roman" w:eastAsia="黑体"/>
        <w:b w:val="0"/>
        <w:i w:val="0"/>
        <w:sz w:val="21"/>
      </w:rPr>
    </w:lvl>
    <w:lvl w:ilvl="6" w:tentative="0">
      <w:start w:val="1"/>
      <w:numFmt w:val="decimal"/>
      <w:suff w:val="nothing"/>
      <w:lvlText w:val="%1%2.%3.%4.%5.%6.%7　"/>
      <w:lvlJc w:val="left"/>
      <w:pPr>
        <w:ind w:left="420" w:firstLine="0"/>
      </w:pPr>
      <w:rPr>
        <w:rFonts w:hint="eastAsia" w:ascii="黑体" w:hAnsi="Times New Roman" w:eastAsia="黑体"/>
        <w:b w:val="0"/>
        <w:i w:val="0"/>
        <w:sz w:val="21"/>
      </w:rPr>
    </w:lvl>
    <w:lvl w:ilvl="7" w:tentative="0">
      <w:start w:val="1"/>
      <w:numFmt w:val="decimal"/>
      <w:lvlText w:val="%1.%2.%3.%4.%5.%6.%7.%8"/>
      <w:lvlJc w:val="left"/>
      <w:pPr>
        <w:tabs>
          <w:tab w:val="left" w:pos="4771"/>
        </w:tabs>
        <w:ind w:left="4389" w:hanging="1418"/>
      </w:pPr>
      <w:rPr>
        <w:rFonts w:hint="eastAsia"/>
      </w:rPr>
    </w:lvl>
    <w:lvl w:ilvl="8" w:tentative="0">
      <w:start w:val="1"/>
      <w:numFmt w:val="decimal"/>
      <w:lvlText w:val="%1.%2.%3.%4.%5.%6.%7.%8.%9"/>
      <w:lvlJc w:val="left"/>
      <w:pPr>
        <w:tabs>
          <w:tab w:val="left" w:pos="5197"/>
        </w:tabs>
        <w:ind w:left="5097" w:hanging="1700"/>
      </w:pPr>
      <w:rPr>
        <w:rFonts w:hint="eastAsia"/>
      </w:rPr>
    </w:lvl>
  </w:abstractNum>
  <w:abstractNum w:abstractNumId="1">
    <w:nsid w:val="44C50F90"/>
    <w:multiLevelType w:val="multilevel"/>
    <w:tmpl w:val="44C50F90"/>
    <w:lvl w:ilvl="0" w:tentative="0">
      <w:start w:val="1"/>
      <w:numFmt w:val="lowerLetter"/>
      <w:pStyle w:val="23"/>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8"/>
      <w:suff w:val="nothing"/>
      <w:lvlText w:val="%1%2　"/>
      <w:lvlJc w:val="left"/>
      <w:pPr>
        <w:ind w:left="0" w:firstLine="0"/>
      </w:pPr>
      <w:rPr>
        <w:rFonts w:hint="eastAsia" w:ascii="黑体" w:eastAsia="黑体"/>
        <w:b w:val="0"/>
        <w:i w:val="0"/>
        <w:sz w:val="21"/>
      </w:rPr>
    </w:lvl>
    <w:lvl w:ilvl="2" w:tentative="0">
      <w:start w:val="1"/>
      <w:numFmt w:val="decimal"/>
      <w:pStyle w:val="2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4"/>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YTk0MDA5MDk0MTcwZGE2YzQ1NWJlN2M0MjVlMmEifQ=="/>
    <w:docVar w:name="KSO_WPS_MARK_KEY" w:val="07a29f73-7894-48b2-8797-4ce1aa6a145d"/>
  </w:docVars>
  <w:rsids>
    <w:rsidRoot w:val="2FBD3F12"/>
    <w:rsid w:val="000133BD"/>
    <w:rsid w:val="000A1333"/>
    <w:rsid w:val="000E4776"/>
    <w:rsid w:val="00113D70"/>
    <w:rsid w:val="001868F4"/>
    <w:rsid w:val="0022655A"/>
    <w:rsid w:val="002432FD"/>
    <w:rsid w:val="0026394F"/>
    <w:rsid w:val="002A6D19"/>
    <w:rsid w:val="002B7551"/>
    <w:rsid w:val="002F72D9"/>
    <w:rsid w:val="00321ADF"/>
    <w:rsid w:val="003244CE"/>
    <w:rsid w:val="00355DA0"/>
    <w:rsid w:val="00386133"/>
    <w:rsid w:val="00390508"/>
    <w:rsid w:val="00484ACB"/>
    <w:rsid w:val="004871F2"/>
    <w:rsid w:val="00515F7F"/>
    <w:rsid w:val="00516868"/>
    <w:rsid w:val="0055485E"/>
    <w:rsid w:val="005609F4"/>
    <w:rsid w:val="00566D4D"/>
    <w:rsid w:val="005A5224"/>
    <w:rsid w:val="005E1301"/>
    <w:rsid w:val="005F6D5E"/>
    <w:rsid w:val="0064166B"/>
    <w:rsid w:val="00647E6E"/>
    <w:rsid w:val="006D4B8F"/>
    <w:rsid w:val="006E7545"/>
    <w:rsid w:val="00772104"/>
    <w:rsid w:val="007A011A"/>
    <w:rsid w:val="0081197B"/>
    <w:rsid w:val="0088761C"/>
    <w:rsid w:val="00896D96"/>
    <w:rsid w:val="00901A3D"/>
    <w:rsid w:val="00923E1D"/>
    <w:rsid w:val="009B07F3"/>
    <w:rsid w:val="009D23CB"/>
    <w:rsid w:val="009E6626"/>
    <w:rsid w:val="00A01CFB"/>
    <w:rsid w:val="00A1338E"/>
    <w:rsid w:val="00A41753"/>
    <w:rsid w:val="00A75F2F"/>
    <w:rsid w:val="00A772D9"/>
    <w:rsid w:val="00A83620"/>
    <w:rsid w:val="00A94F08"/>
    <w:rsid w:val="00A97073"/>
    <w:rsid w:val="00AA6B9C"/>
    <w:rsid w:val="00AB0B78"/>
    <w:rsid w:val="00AB6F99"/>
    <w:rsid w:val="00B55478"/>
    <w:rsid w:val="00BA42F5"/>
    <w:rsid w:val="00CB4B18"/>
    <w:rsid w:val="00CC782C"/>
    <w:rsid w:val="00D12217"/>
    <w:rsid w:val="00D20335"/>
    <w:rsid w:val="00D20C5A"/>
    <w:rsid w:val="00D840C5"/>
    <w:rsid w:val="00E421EF"/>
    <w:rsid w:val="00E52140"/>
    <w:rsid w:val="00E56B55"/>
    <w:rsid w:val="00E8418A"/>
    <w:rsid w:val="00F1175E"/>
    <w:rsid w:val="0797764C"/>
    <w:rsid w:val="0CD36B2A"/>
    <w:rsid w:val="0F398E92"/>
    <w:rsid w:val="15373115"/>
    <w:rsid w:val="1A7A6A40"/>
    <w:rsid w:val="1D45091C"/>
    <w:rsid w:val="1DAFEF03"/>
    <w:rsid w:val="243C163E"/>
    <w:rsid w:val="2E6F4F5F"/>
    <w:rsid w:val="2FBD3F12"/>
    <w:rsid w:val="336D37E1"/>
    <w:rsid w:val="3ADEC98B"/>
    <w:rsid w:val="3CC44087"/>
    <w:rsid w:val="3FF9B315"/>
    <w:rsid w:val="42F511AB"/>
    <w:rsid w:val="42FA6EAE"/>
    <w:rsid w:val="43C872A0"/>
    <w:rsid w:val="4B6201F7"/>
    <w:rsid w:val="4DCE4C6E"/>
    <w:rsid w:val="52BB20F7"/>
    <w:rsid w:val="54E2BB23"/>
    <w:rsid w:val="57BBE51B"/>
    <w:rsid w:val="5C565DC9"/>
    <w:rsid w:val="5DD7AB33"/>
    <w:rsid w:val="5EBB4455"/>
    <w:rsid w:val="5F77B8F6"/>
    <w:rsid w:val="67EF9CCE"/>
    <w:rsid w:val="6BE86E24"/>
    <w:rsid w:val="6D3103B7"/>
    <w:rsid w:val="6EF9B66E"/>
    <w:rsid w:val="6F9F2157"/>
    <w:rsid w:val="77EE8ADE"/>
    <w:rsid w:val="784C5DBD"/>
    <w:rsid w:val="78FD0B01"/>
    <w:rsid w:val="7ADD5D1D"/>
    <w:rsid w:val="7D67DBB7"/>
    <w:rsid w:val="7DFF5BDB"/>
    <w:rsid w:val="7E5E7000"/>
    <w:rsid w:val="7F7B2F43"/>
    <w:rsid w:val="7FA38FA4"/>
    <w:rsid w:val="7FDFFDF8"/>
    <w:rsid w:val="7FF69CAB"/>
    <w:rsid w:val="7FFB8C74"/>
    <w:rsid w:val="87FEED84"/>
    <w:rsid w:val="87FF3CDF"/>
    <w:rsid w:val="966F0C6D"/>
    <w:rsid w:val="9CFF1316"/>
    <w:rsid w:val="9DFFA9DF"/>
    <w:rsid w:val="A7FB9FC5"/>
    <w:rsid w:val="AFDF7DE0"/>
    <w:rsid w:val="AFDFDF78"/>
    <w:rsid w:val="B6F635B7"/>
    <w:rsid w:val="BF7FE353"/>
    <w:rsid w:val="BFC79489"/>
    <w:rsid w:val="C7FFABAC"/>
    <w:rsid w:val="CE3E8DD1"/>
    <w:rsid w:val="CEFF9656"/>
    <w:rsid w:val="DADE9267"/>
    <w:rsid w:val="DCC4B230"/>
    <w:rsid w:val="DFF39E51"/>
    <w:rsid w:val="E3B587B5"/>
    <w:rsid w:val="E67C562C"/>
    <w:rsid w:val="EDD9CD07"/>
    <w:rsid w:val="EDFB8466"/>
    <w:rsid w:val="EF6D726D"/>
    <w:rsid w:val="F1F55EC6"/>
    <w:rsid w:val="F5F53E6E"/>
    <w:rsid w:val="F5FB1BC1"/>
    <w:rsid w:val="F7BFCF05"/>
    <w:rsid w:val="F7FD082B"/>
    <w:rsid w:val="F9FFFB04"/>
    <w:rsid w:val="FDCFC54D"/>
    <w:rsid w:val="FE7C1895"/>
    <w:rsid w:val="FFFFC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200" w:beforeLines="200" w:after="100" w:afterLines="100" w:line="600" w:lineRule="exact"/>
      <w:jc w:val="center"/>
      <w:outlineLvl w:val="0"/>
    </w:pPr>
    <w:rPr>
      <w:rFonts w:ascii="Calibri" w:hAnsi="Calibri" w:eastAsia="方正小标宋简体" w:cs="Times New Roman"/>
      <w:kern w:val="44"/>
      <w:sz w:val="44"/>
    </w:rPr>
  </w:style>
  <w:style w:type="paragraph" w:styleId="3">
    <w:name w:val="heading 2"/>
    <w:basedOn w:val="1"/>
    <w:next w:val="1"/>
    <w:autoRedefine/>
    <w:unhideWhenUsed/>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7"/>
    <w:autoRedefine/>
    <w:qFormat/>
    <w:uiPriority w:val="0"/>
    <w:pPr>
      <w:tabs>
        <w:tab w:val="center" w:pos="4153"/>
        <w:tab w:val="right" w:pos="8306"/>
      </w:tabs>
      <w:snapToGrid w:val="0"/>
      <w:jc w:val="left"/>
    </w:pPr>
    <w:rPr>
      <w:sz w:val="18"/>
      <w:szCs w:val="18"/>
    </w:rPr>
  </w:style>
  <w:style w:type="paragraph" w:styleId="5">
    <w:name w:val="header"/>
    <w:basedOn w:val="1"/>
    <w:link w:val="16"/>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段"/>
    <w:link w:val="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9">
    <w:name w:val="段 Char"/>
    <w:basedOn w:val="7"/>
    <w:link w:val="8"/>
    <w:autoRedefine/>
    <w:qFormat/>
    <w:uiPriority w:val="0"/>
    <w:rPr>
      <w:rFonts w:ascii="宋体" w:hAnsi="Times New Roman" w:eastAsia="宋体" w:cs="Times New Roman"/>
      <w:sz w:val="21"/>
    </w:rPr>
  </w:style>
  <w:style w:type="paragraph" w:customStyle="1" w:styleId="10">
    <w:name w:val="一级条标题"/>
    <w:next w:val="8"/>
    <w:autoRedefine/>
    <w:qFormat/>
    <w:uiPriority w:val="0"/>
    <w:pPr>
      <w:numPr>
        <w:ilvl w:val="1"/>
        <w:numId w:val="1"/>
      </w:numPr>
      <w:spacing w:before="156" w:beforeLines="50" w:after="156" w:afterLines="50"/>
      <w:ind w:left="420"/>
      <w:outlineLvl w:val="2"/>
    </w:pPr>
    <w:rPr>
      <w:rFonts w:ascii="黑体" w:hAnsi="Times New Roman" w:eastAsia="黑体" w:cs="Times New Roman"/>
      <w:sz w:val="21"/>
      <w:szCs w:val="21"/>
      <w:lang w:val="en-US" w:eastAsia="zh-CN" w:bidi="ar-SA"/>
    </w:rPr>
  </w:style>
  <w:style w:type="paragraph" w:customStyle="1" w:styleId="11">
    <w:name w:val="章标题"/>
    <w:next w:val="8"/>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2">
    <w:name w:val="二级条标题"/>
    <w:basedOn w:val="10"/>
    <w:next w:val="8"/>
    <w:autoRedefine/>
    <w:qFormat/>
    <w:uiPriority w:val="0"/>
    <w:pPr>
      <w:numPr>
        <w:ilvl w:val="2"/>
      </w:numPr>
      <w:spacing w:before="50" w:after="50"/>
      <w:outlineLvl w:val="3"/>
    </w:pPr>
  </w:style>
  <w:style w:type="paragraph" w:customStyle="1" w:styleId="13">
    <w:name w:val="三级条标题"/>
    <w:basedOn w:val="12"/>
    <w:next w:val="8"/>
    <w:autoRedefine/>
    <w:qFormat/>
    <w:uiPriority w:val="0"/>
    <w:pPr>
      <w:numPr>
        <w:ilvl w:val="3"/>
      </w:numPr>
      <w:outlineLvl w:val="4"/>
    </w:pPr>
  </w:style>
  <w:style w:type="paragraph" w:customStyle="1" w:styleId="14">
    <w:name w:val="四级条标题"/>
    <w:basedOn w:val="13"/>
    <w:next w:val="8"/>
    <w:autoRedefine/>
    <w:qFormat/>
    <w:uiPriority w:val="0"/>
    <w:pPr>
      <w:numPr>
        <w:ilvl w:val="4"/>
      </w:numPr>
      <w:outlineLvl w:val="5"/>
    </w:pPr>
  </w:style>
  <w:style w:type="paragraph" w:customStyle="1" w:styleId="15">
    <w:name w:val="五级条标题"/>
    <w:basedOn w:val="14"/>
    <w:next w:val="8"/>
    <w:autoRedefine/>
    <w:qFormat/>
    <w:uiPriority w:val="0"/>
    <w:pPr>
      <w:numPr>
        <w:ilvl w:val="5"/>
      </w:numPr>
      <w:outlineLvl w:val="6"/>
    </w:pPr>
  </w:style>
  <w:style w:type="character" w:customStyle="1" w:styleId="16">
    <w:name w:val="页眉 字符"/>
    <w:basedOn w:val="7"/>
    <w:link w:val="5"/>
    <w:autoRedefine/>
    <w:qFormat/>
    <w:uiPriority w:val="0"/>
    <w:rPr>
      <w:kern w:val="2"/>
      <w:sz w:val="18"/>
      <w:szCs w:val="18"/>
    </w:rPr>
  </w:style>
  <w:style w:type="character" w:customStyle="1" w:styleId="17">
    <w:name w:val="页脚 字符"/>
    <w:basedOn w:val="7"/>
    <w:link w:val="4"/>
    <w:autoRedefine/>
    <w:qFormat/>
    <w:uiPriority w:val="0"/>
    <w:rPr>
      <w:kern w:val="2"/>
      <w:sz w:val="18"/>
      <w:szCs w:val="18"/>
    </w:rPr>
  </w:style>
  <w:style w:type="paragraph" w:customStyle="1" w:styleId="18">
    <w:name w:val="标准文件_章标题"/>
    <w:next w:val="19"/>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标准文件_术语条一"/>
    <w:basedOn w:val="21"/>
    <w:next w:val="19"/>
    <w:autoRedefine/>
    <w:qFormat/>
    <w:uiPriority w:val="0"/>
  </w:style>
  <w:style w:type="paragraph" w:customStyle="1" w:styleId="21">
    <w:name w:val="标准文件_一级无标题"/>
    <w:basedOn w:val="22"/>
    <w:autoRedefine/>
    <w:qFormat/>
    <w:uiPriority w:val="0"/>
    <w:pPr>
      <w:spacing w:beforeLines="0" w:afterLines="0"/>
      <w:outlineLvl w:val="9"/>
    </w:pPr>
    <w:rPr>
      <w:rFonts w:ascii="宋体" w:eastAsia="宋体"/>
    </w:rPr>
  </w:style>
  <w:style w:type="paragraph" w:customStyle="1" w:styleId="22">
    <w:name w:val="标准文件_一级条标题"/>
    <w:basedOn w:val="18"/>
    <w:next w:val="19"/>
    <w:autoRedefine/>
    <w:qFormat/>
    <w:uiPriority w:val="0"/>
    <w:pPr>
      <w:numPr>
        <w:ilvl w:val="2"/>
      </w:numPr>
      <w:spacing w:beforeLines="50" w:afterLines="50"/>
      <w:outlineLvl w:val="1"/>
    </w:pPr>
  </w:style>
  <w:style w:type="paragraph" w:customStyle="1" w:styleId="23">
    <w:name w:val="标准文件_字母编号列项（一级）"/>
    <w:autoRedefine/>
    <w:qFormat/>
    <w:uiPriority w:val="0"/>
    <w:pPr>
      <w:numPr>
        <w:ilvl w:val="0"/>
        <w:numId w:val="3"/>
      </w:numPr>
      <w:jc w:val="both"/>
    </w:pPr>
    <w:rPr>
      <w:rFonts w:ascii="宋体" w:hAnsi="Times New Roman" w:eastAsia="宋体" w:cs="Times New Roman"/>
      <w:sz w:val="21"/>
      <w:lang w:val="en-US" w:eastAsia="zh-CN" w:bidi="ar-SA"/>
    </w:rPr>
  </w:style>
  <w:style w:type="paragraph" w:customStyle="1" w:styleId="24">
    <w:name w:val="标准文件_二级条标题"/>
    <w:next w:val="19"/>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196</Words>
  <Characters>202</Characters>
  <Lines>1</Lines>
  <Paragraphs>1</Paragraphs>
  <TotalTime>6</TotalTime>
  <ScaleCrop>false</ScaleCrop>
  <LinksUpToDate>false</LinksUpToDate>
  <CharactersWithSpaces>208</CharactersWithSpaces>
  <Application>WPS Office_12.8.2.1117_F1E327BC-269C-435d-A152-05C5408002CA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2024-01-05T13:41:00Z</dcterms:created>
  <dc:creator>张建光</dc:creator>
  <cp:lastModifiedBy>路漫漫</cp:lastModifiedBy>
  <cp:lastPrinted>2026-01-04T13:20:00Z</cp:lastPrinted>
  <dcterms:modified xsi:type="dcterms:W3CDTF">2026-01-06T09:11:47Z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2052-12.8.2.1117</vt:lpwstr>
  </property>
  <property fmtid="{D5CDD505-2E9C-101B-9397-08002B2CF9AE}" pid="3" name="ICV">
    <vt:lpwstr>855F58C0EF1B452CA7D90106C4753786_13</vt:lpwstr>
  </property>
</Properties>
</file>