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9DCD1">
      <w:pPr>
        <w:widowControl/>
        <w:jc w:val="center"/>
        <w:rPr>
          <w:rFonts w:hint="eastAsia" w:ascii="方正小标宋_GBK" w:hAnsi="方正小标宋_GBK" w:eastAsia="方正小标宋_GBK" w:cs="方正小标宋_GBK"/>
          <w:color w:val="auto"/>
          <w:kern w:val="0"/>
          <w:sz w:val="43"/>
          <w:szCs w:val="43"/>
          <w:lang w:eastAsia="zh-CN" w:bidi="ar"/>
        </w:rPr>
      </w:pPr>
    </w:p>
    <w:p w14:paraId="4F735F15">
      <w:pPr>
        <w:widowControl/>
        <w:jc w:val="center"/>
        <w:rPr>
          <w:rFonts w:hint="eastAsia" w:ascii="方正小标宋简体" w:hAnsi="方正小标宋简体" w:eastAsia="方正小标宋简体" w:cs="方正小标宋简体"/>
          <w:color w:val="auto"/>
          <w:kern w:val="0"/>
          <w:sz w:val="43"/>
          <w:szCs w:val="43"/>
          <w:lang w:eastAsia="zh-CN" w:bidi="ar"/>
        </w:rPr>
      </w:pPr>
      <w:r>
        <w:rPr>
          <w:rFonts w:hint="eastAsia" w:ascii="方正小标宋简体" w:hAnsi="方正小标宋简体" w:eastAsia="方正小标宋简体" w:cs="方正小标宋简体"/>
          <w:color w:val="auto"/>
          <w:kern w:val="0"/>
          <w:sz w:val="43"/>
          <w:szCs w:val="43"/>
          <w:lang w:val="en-US" w:eastAsia="zh-CN" w:bidi="ar"/>
        </w:rPr>
        <w:t>地方标准</w:t>
      </w:r>
    </w:p>
    <w:p w14:paraId="4FE1E25C">
      <w:pPr>
        <w:widowControl/>
        <w:jc w:val="center"/>
        <w:rPr>
          <w:rFonts w:hint="eastAsia" w:ascii="方正小标宋_GBK" w:hAnsi="方正小标宋_GBK" w:eastAsia="方正小标宋_GBK" w:cs="方正小标宋_GBK"/>
          <w:color w:val="auto"/>
          <w:kern w:val="0"/>
          <w:sz w:val="43"/>
          <w:szCs w:val="43"/>
          <w:lang w:bidi="ar"/>
        </w:rPr>
      </w:pPr>
      <w:r>
        <w:rPr>
          <w:rFonts w:hint="eastAsia" w:ascii="方正小标宋简体" w:hAnsi="方正小标宋简体" w:eastAsia="方正小标宋简体" w:cs="方正小标宋简体"/>
          <w:color w:val="auto"/>
          <w:kern w:val="0"/>
          <w:sz w:val="43"/>
          <w:szCs w:val="43"/>
          <w:lang w:eastAsia="zh-CN" w:bidi="ar"/>
        </w:rPr>
        <w:t>《牛羊布鲁氏菌病免疫操作技术规范》</w:t>
      </w:r>
    </w:p>
    <w:p w14:paraId="2E3470D9">
      <w:pPr>
        <w:widowControl/>
        <w:jc w:val="center"/>
        <w:rPr>
          <w:rFonts w:hint="eastAsia" w:ascii="方正小标宋_GBK" w:hAnsi="方正小标宋_GBK" w:eastAsia="方正小标宋_GBK" w:cs="方正小标宋_GBK"/>
          <w:color w:val="auto"/>
          <w:kern w:val="0"/>
          <w:sz w:val="43"/>
          <w:szCs w:val="43"/>
          <w:lang w:bidi="ar"/>
        </w:rPr>
      </w:pPr>
    </w:p>
    <w:p w14:paraId="6AB37D04">
      <w:pPr>
        <w:widowControl/>
        <w:jc w:val="center"/>
        <w:rPr>
          <w:rFonts w:hint="eastAsia" w:ascii="方正小标宋_GBK" w:hAnsi="方正小标宋_GBK" w:eastAsia="方正小标宋_GBK" w:cs="方正小标宋_GBK"/>
          <w:color w:val="auto"/>
          <w:kern w:val="0"/>
          <w:sz w:val="43"/>
          <w:szCs w:val="43"/>
          <w:lang w:bidi="ar"/>
        </w:rPr>
      </w:pPr>
    </w:p>
    <w:p w14:paraId="0BD014D8">
      <w:pPr>
        <w:widowControl/>
        <w:jc w:val="center"/>
        <w:rPr>
          <w:rFonts w:hint="eastAsia" w:ascii="方正小标宋简体" w:hAnsi="方正小标宋简体" w:eastAsia="方正小标宋简体" w:cs="方正小标宋简体"/>
          <w:color w:val="auto"/>
          <w:kern w:val="0"/>
          <w:sz w:val="43"/>
          <w:szCs w:val="43"/>
          <w:lang w:bidi="ar"/>
        </w:rPr>
      </w:pPr>
      <w:r>
        <w:rPr>
          <w:rFonts w:hint="eastAsia" w:ascii="方正小标宋简体" w:hAnsi="方正小标宋简体" w:eastAsia="方正小标宋简体" w:cs="方正小标宋简体"/>
          <w:color w:val="auto"/>
          <w:kern w:val="0"/>
          <w:sz w:val="43"/>
          <w:szCs w:val="43"/>
          <w:lang w:bidi="ar"/>
        </w:rPr>
        <w:t>编制说明</w:t>
      </w:r>
    </w:p>
    <w:p w14:paraId="349C7BD6">
      <w:pPr>
        <w:widowControl/>
        <w:jc w:val="center"/>
        <w:rPr>
          <w:rFonts w:hint="eastAsia" w:ascii="方正小标宋简体" w:hAnsi="方正小标宋简体" w:eastAsia="方正小标宋简体" w:cs="方正小标宋简体"/>
          <w:color w:val="auto"/>
          <w:kern w:val="0"/>
          <w:sz w:val="43"/>
          <w:szCs w:val="43"/>
          <w:lang w:bidi="ar"/>
        </w:rPr>
      </w:pPr>
    </w:p>
    <w:p w14:paraId="0A69F801">
      <w:pPr>
        <w:widowControl/>
        <w:jc w:val="center"/>
        <w:rPr>
          <w:rFonts w:hint="eastAsia" w:ascii="方正小标宋简体" w:hAnsi="方正小标宋简体" w:eastAsia="方正小标宋简体" w:cs="方正小标宋简体"/>
          <w:color w:val="auto"/>
          <w:kern w:val="0"/>
          <w:sz w:val="43"/>
          <w:szCs w:val="43"/>
          <w:lang w:bidi="ar"/>
        </w:rPr>
      </w:pPr>
    </w:p>
    <w:p w14:paraId="189F6B7D">
      <w:pPr>
        <w:widowControl/>
        <w:jc w:val="center"/>
        <w:rPr>
          <w:rFonts w:hint="eastAsia" w:ascii="方正小标宋简体" w:hAnsi="方正小标宋简体" w:eastAsia="方正小标宋简体" w:cs="方正小标宋简体"/>
          <w:color w:val="auto"/>
          <w:kern w:val="0"/>
          <w:sz w:val="43"/>
          <w:szCs w:val="43"/>
          <w:lang w:bidi="ar"/>
        </w:rPr>
      </w:pPr>
    </w:p>
    <w:p w14:paraId="3CE5C0D4">
      <w:pPr>
        <w:widowControl/>
        <w:jc w:val="center"/>
        <w:rPr>
          <w:rFonts w:hint="eastAsia" w:ascii="方正小标宋简体" w:hAnsi="方正小标宋简体" w:eastAsia="方正小标宋简体" w:cs="方正小标宋简体"/>
          <w:color w:val="auto"/>
          <w:kern w:val="0"/>
          <w:sz w:val="43"/>
          <w:szCs w:val="43"/>
          <w:lang w:bidi="ar"/>
        </w:rPr>
      </w:pPr>
    </w:p>
    <w:p w14:paraId="26FE3B76">
      <w:pPr>
        <w:widowControl/>
        <w:jc w:val="center"/>
        <w:rPr>
          <w:rFonts w:hint="eastAsia" w:ascii="方正小标宋简体" w:hAnsi="方正小标宋简体" w:eastAsia="方正小标宋简体" w:cs="方正小标宋简体"/>
          <w:color w:val="auto"/>
          <w:kern w:val="0"/>
          <w:sz w:val="43"/>
          <w:szCs w:val="43"/>
          <w:lang w:bidi="ar"/>
        </w:rPr>
      </w:pPr>
    </w:p>
    <w:p w14:paraId="381E56D5">
      <w:pPr>
        <w:widowControl/>
        <w:jc w:val="both"/>
        <w:rPr>
          <w:rFonts w:hint="eastAsia" w:ascii="方正小标宋简体" w:hAnsi="方正小标宋简体" w:eastAsia="方正小标宋简体" w:cs="方正小标宋简体"/>
          <w:color w:val="auto"/>
          <w:kern w:val="0"/>
          <w:sz w:val="43"/>
          <w:szCs w:val="43"/>
          <w:lang w:bidi="ar"/>
        </w:rPr>
      </w:pPr>
    </w:p>
    <w:p w14:paraId="3181D2FF">
      <w:pPr>
        <w:widowControl/>
        <w:jc w:val="center"/>
        <w:rPr>
          <w:rFonts w:hint="default" w:ascii="Times New Roman" w:hAnsi="Times New Roman" w:eastAsia="仿宋" w:cs="Times New Roman"/>
          <w:color w:val="auto"/>
          <w:kern w:val="0"/>
          <w:sz w:val="36"/>
          <w:szCs w:val="36"/>
          <w:lang w:bidi="ar"/>
        </w:rPr>
      </w:pPr>
      <w:r>
        <w:rPr>
          <w:rFonts w:hint="default" w:ascii="Times New Roman" w:hAnsi="Times New Roman" w:eastAsia="仿宋" w:cs="Times New Roman"/>
          <w:color w:val="auto"/>
          <w:kern w:val="0"/>
          <w:sz w:val="36"/>
          <w:szCs w:val="36"/>
          <w:lang w:bidi="ar"/>
        </w:rPr>
        <w:t>202</w:t>
      </w:r>
      <w:r>
        <w:rPr>
          <w:rFonts w:hint="default" w:ascii="Times New Roman" w:hAnsi="Times New Roman" w:eastAsia="仿宋" w:cs="Times New Roman"/>
          <w:color w:val="auto"/>
          <w:kern w:val="0"/>
          <w:sz w:val="36"/>
          <w:szCs w:val="36"/>
          <w:lang w:val="en-US" w:eastAsia="zh-CN" w:bidi="ar"/>
        </w:rPr>
        <w:t>6</w:t>
      </w:r>
      <w:r>
        <w:rPr>
          <w:rFonts w:hint="default" w:ascii="Times New Roman" w:hAnsi="Times New Roman" w:eastAsia="仿宋" w:cs="Times New Roman"/>
          <w:color w:val="auto"/>
          <w:kern w:val="0"/>
          <w:sz w:val="36"/>
          <w:szCs w:val="36"/>
          <w:lang w:bidi="ar"/>
        </w:rPr>
        <w:t xml:space="preserve">年 </w:t>
      </w:r>
      <w:r>
        <w:rPr>
          <w:rFonts w:hint="default" w:ascii="Times New Roman" w:hAnsi="Times New Roman" w:eastAsia="仿宋" w:cs="Times New Roman"/>
          <w:color w:val="auto"/>
          <w:kern w:val="0"/>
          <w:sz w:val="36"/>
          <w:szCs w:val="36"/>
          <w:lang w:val="en-US" w:eastAsia="zh-CN" w:bidi="ar"/>
        </w:rPr>
        <w:t>1</w:t>
      </w:r>
      <w:r>
        <w:rPr>
          <w:rFonts w:hint="default" w:ascii="Times New Roman" w:hAnsi="Times New Roman" w:eastAsia="仿宋" w:cs="Times New Roman"/>
          <w:color w:val="auto"/>
          <w:kern w:val="0"/>
          <w:sz w:val="36"/>
          <w:szCs w:val="36"/>
          <w:lang w:bidi="ar"/>
        </w:rPr>
        <w:t xml:space="preserve"> 月</w:t>
      </w:r>
    </w:p>
    <w:p w14:paraId="04136090">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color w:val="auto"/>
          <w:sz w:val="44"/>
          <w:szCs w:val="44"/>
        </w:rPr>
        <w:sectPr>
          <w:pgSz w:w="11905" w:h="16838" w:orient="landscape"/>
          <w:pgMar w:top="1803" w:right="1440" w:bottom="1803" w:left="1440" w:header="851" w:footer="992" w:gutter="0"/>
          <w:pgNumType w:fmt="numberInDash" w:start="1"/>
          <w:cols w:space="0" w:num="1"/>
          <w:docGrid w:type="lines" w:linePitch="315" w:charSpace="0"/>
        </w:sectPr>
      </w:pPr>
    </w:p>
    <w:p w14:paraId="4BF3E3E4">
      <w:pPr>
        <w:pStyle w:val="2"/>
        <w:rPr>
          <w:rFonts w:hint="eastAsia"/>
          <w:color w:val="auto"/>
        </w:rPr>
      </w:pPr>
    </w:p>
    <w:sdt>
      <w:sdtPr>
        <w:rPr>
          <w:rFonts w:ascii="宋体" w:hAnsi="宋体" w:eastAsia="宋体" w:cstheme="minorBidi"/>
          <w:color w:val="auto"/>
          <w:kern w:val="2"/>
          <w:sz w:val="21"/>
          <w:szCs w:val="24"/>
          <w:lang w:val="en-US" w:eastAsia="zh-CN" w:bidi="ar-SA"/>
        </w:rPr>
        <w:id w:val="147461030"/>
        <w15:color w:val="DBDBDB"/>
        <w:docPartObj>
          <w:docPartGallery w:val="Table of Contents"/>
          <w:docPartUnique/>
        </w:docPartObj>
      </w:sdtPr>
      <w:sdtEndPr>
        <w:rPr>
          <w:rFonts w:ascii="宋体" w:hAnsi="宋体" w:eastAsia="宋体" w:cstheme="minorBidi"/>
          <w:b/>
          <w:color w:val="auto"/>
          <w:kern w:val="2"/>
          <w:sz w:val="21"/>
          <w:szCs w:val="24"/>
          <w:lang w:val="en-US" w:eastAsia="zh-CN" w:bidi="ar-SA"/>
        </w:rPr>
      </w:sdtEndPr>
      <w:sdtContent>
        <w:p w14:paraId="3D4ECF1A">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color w:val="auto"/>
              <w:sz w:val="36"/>
              <w:szCs w:val="44"/>
            </w:rPr>
          </w:pPr>
          <w:r>
            <w:rPr>
              <w:rFonts w:hint="eastAsia" w:ascii="方正小标宋简体" w:hAnsi="方正小标宋简体" w:eastAsia="方正小标宋简体" w:cs="方正小标宋简体"/>
              <w:color w:val="auto"/>
              <w:sz w:val="36"/>
              <w:szCs w:val="44"/>
            </w:rPr>
            <w:t>目</w:t>
          </w:r>
          <w:r>
            <w:rPr>
              <w:rFonts w:hint="eastAsia" w:ascii="方正小标宋简体" w:hAnsi="方正小标宋简体" w:eastAsia="方正小标宋简体" w:cs="方正小标宋简体"/>
              <w:color w:val="auto"/>
              <w:sz w:val="36"/>
              <w:szCs w:val="44"/>
              <w:lang w:val="en-US" w:eastAsia="zh-CN"/>
            </w:rPr>
            <w:t xml:space="preserve">  </w:t>
          </w:r>
          <w:r>
            <w:rPr>
              <w:rFonts w:hint="eastAsia" w:ascii="方正小标宋简体" w:hAnsi="方正小标宋简体" w:eastAsia="方正小标宋简体" w:cs="方正小标宋简体"/>
              <w:color w:val="auto"/>
              <w:sz w:val="36"/>
              <w:szCs w:val="44"/>
            </w:rPr>
            <w:t>录</w:t>
          </w:r>
        </w:p>
        <w:p w14:paraId="0CEC04E1">
          <w:pPr>
            <w:pStyle w:val="16"/>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b/>
              <w:color w:val="auto"/>
              <w:sz w:val="28"/>
              <w:szCs w:val="28"/>
            </w:rPr>
          </w:pPr>
          <w:r>
            <w:rPr>
              <w:color w:val="auto"/>
              <w:sz w:val="28"/>
              <w:szCs w:val="28"/>
            </w:rPr>
            <w:fldChar w:fldCharType="begin"/>
          </w:r>
          <w:r>
            <w:rPr>
              <w:color w:val="auto"/>
              <w:sz w:val="28"/>
              <w:szCs w:val="28"/>
            </w:rPr>
            <w:instrText xml:space="preserve">TOC \o "1-2" \h \u </w:instrText>
          </w:r>
          <w:r>
            <w:rPr>
              <w:color w:val="auto"/>
              <w:sz w:val="28"/>
              <w:szCs w:val="28"/>
            </w:rPr>
            <w:fldChar w:fldCharType="separate"/>
          </w:r>
          <w:r>
            <w:rPr>
              <w:b/>
              <w:color w:val="auto"/>
              <w:sz w:val="28"/>
              <w:szCs w:val="28"/>
            </w:rPr>
            <w:fldChar w:fldCharType="begin"/>
          </w:r>
          <w:r>
            <w:rPr>
              <w:b/>
              <w:color w:val="auto"/>
              <w:sz w:val="28"/>
              <w:szCs w:val="28"/>
            </w:rPr>
            <w:instrText xml:space="preserve"> HYPERLINK \l _Toc14283 </w:instrText>
          </w:r>
          <w:r>
            <w:rPr>
              <w:b/>
              <w:color w:val="auto"/>
              <w:sz w:val="28"/>
              <w:szCs w:val="28"/>
            </w:rPr>
            <w:fldChar w:fldCharType="separate"/>
          </w:r>
          <w:r>
            <w:rPr>
              <w:rFonts w:hint="eastAsia" w:ascii="黑体" w:hAnsi="黑体" w:eastAsia="黑体" w:cs="黑体"/>
              <w:b/>
              <w:color w:val="auto"/>
              <w:sz w:val="28"/>
              <w:szCs w:val="48"/>
            </w:rPr>
            <w:t>一、工作简况</w:t>
          </w:r>
          <w:r>
            <w:rPr>
              <w:b/>
              <w:color w:val="auto"/>
              <w:sz w:val="28"/>
              <w:szCs w:val="28"/>
            </w:rPr>
            <w:tab/>
          </w:r>
          <w:r>
            <w:rPr>
              <w:b/>
              <w:color w:val="auto"/>
              <w:sz w:val="28"/>
              <w:szCs w:val="28"/>
            </w:rPr>
            <w:fldChar w:fldCharType="begin"/>
          </w:r>
          <w:r>
            <w:rPr>
              <w:b/>
              <w:color w:val="auto"/>
              <w:sz w:val="28"/>
              <w:szCs w:val="28"/>
            </w:rPr>
            <w:instrText xml:space="preserve"> PAGEREF _Toc14283 \h </w:instrText>
          </w:r>
          <w:r>
            <w:rPr>
              <w:b/>
              <w:color w:val="auto"/>
              <w:sz w:val="28"/>
              <w:szCs w:val="28"/>
            </w:rPr>
            <w:fldChar w:fldCharType="separate"/>
          </w:r>
          <w:r>
            <w:rPr>
              <w:b/>
              <w:color w:val="auto"/>
              <w:sz w:val="28"/>
              <w:szCs w:val="28"/>
            </w:rPr>
            <w:t>- 1 -</w:t>
          </w:r>
          <w:r>
            <w:rPr>
              <w:b/>
              <w:color w:val="auto"/>
              <w:sz w:val="28"/>
              <w:szCs w:val="28"/>
            </w:rPr>
            <w:fldChar w:fldCharType="end"/>
          </w:r>
          <w:r>
            <w:rPr>
              <w:b/>
              <w:color w:val="auto"/>
              <w:sz w:val="28"/>
              <w:szCs w:val="28"/>
            </w:rPr>
            <w:fldChar w:fldCharType="end"/>
          </w:r>
        </w:p>
        <w:p w14:paraId="566F0A70">
          <w:pPr>
            <w:pStyle w:val="17"/>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color w:val="auto"/>
              <w:sz w:val="28"/>
              <w:szCs w:val="28"/>
            </w:rPr>
          </w:pPr>
          <w:r>
            <w:rPr>
              <w:color w:val="auto"/>
              <w:sz w:val="28"/>
              <w:szCs w:val="28"/>
            </w:rPr>
            <w:fldChar w:fldCharType="begin"/>
          </w:r>
          <w:r>
            <w:rPr>
              <w:color w:val="auto"/>
              <w:sz w:val="28"/>
              <w:szCs w:val="28"/>
            </w:rPr>
            <w:instrText xml:space="preserve"> HYPERLINK \l _Toc28662 </w:instrText>
          </w:r>
          <w:r>
            <w:rPr>
              <w:color w:val="auto"/>
              <w:sz w:val="28"/>
              <w:szCs w:val="28"/>
            </w:rPr>
            <w:fldChar w:fldCharType="separate"/>
          </w:r>
          <w:r>
            <w:rPr>
              <w:rFonts w:hint="eastAsia" w:ascii="楷体" w:hAnsi="楷体" w:eastAsia="楷体" w:cs="楷体"/>
              <w:bCs/>
              <w:color w:val="auto"/>
              <w:sz w:val="28"/>
              <w:szCs w:val="48"/>
            </w:rPr>
            <w:t>（一）任务来源</w:t>
          </w:r>
          <w:r>
            <w:rPr>
              <w:color w:val="auto"/>
              <w:sz w:val="28"/>
              <w:szCs w:val="28"/>
            </w:rPr>
            <w:tab/>
          </w:r>
          <w:r>
            <w:rPr>
              <w:color w:val="auto"/>
              <w:sz w:val="28"/>
              <w:szCs w:val="28"/>
            </w:rPr>
            <w:fldChar w:fldCharType="begin"/>
          </w:r>
          <w:r>
            <w:rPr>
              <w:color w:val="auto"/>
              <w:sz w:val="28"/>
              <w:szCs w:val="28"/>
            </w:rPr>
            <w:instrText xml:space="preserve"> PAGEREF _Toc28662 \h </w:instrText>
          </w:r>
          <w:r>
            <w:rPr>
              <w:color w:val="auto"/>
              <w:sz w:val="28"/>
              <w:szCs w:val="28"/>
            </w:rPr>
            <w:fldChar w:fldCharType="separate"/>
          </w:r>
          <w:r>
            <w:rPr>
              <w:color w:val="auto"/>
              <w:sz w:val="28"/>
              <w:szCs w:val="28"/>
            </w:rPr>
            <w:t>- 1 -</w:t>
          </w:r>
          <w:r>
            <w:rPr>
              <w:color w:val="auto"/>
              <w:sz w:val="28"/>
              <w:szCs w:val="28"/>
            </w:rPr>
            <w:fldChar w:fldCharType="end"/>
          </w:r>
          <w:r>
            <w:rPr>
              <w:color w:val="auto"/>
              <w:sz w:val="28"/>
              <w:szCs w:val="28"/>
            </w:rPr>
            <w:fldChar w:fldCharType="end"/>
          </w:r>
        </w:p>
        <w:p w14:paraId="7C3A6061">
          <w:pPr>
            <w:pStyle w:val="17"/>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color w:val="auto"/>
              <w:sz w:val="28"/>
              <w:szCs w:val="28"/>
            </w:rPr>
          </w:pPr>
          <w:r>
            <w:rPr>
              <w:color w:val="auto"/>
              <w:sz w:val="28"/>
              <w:szCs w:val="28"/>
            </w:rPr>
            <w:fldChar w:fldCharType="begin"/>
          </w:r>
          <w:r>
            <w:rPr>
              <w:color w:val="auto"/>
              <w:sz w:val="28"/>
              <w:szCs w:val="28"/>
            </w:rPr>
            <w:instrText xml:space="preserve"> HYPERLINK \l _Toc8093 </w:instrText>
          </w:r>
          <w:r>
            <w:rPr>
              <w:color w:val="auto"/>
              <w:sz w:val="28"/>
              <w:szCs w:val="28"/>
            </w:rPr>
            <w:fldChar w:fldCharType="separate"/>
          </w:r>
          <w:r>
            <w:rPr>
              <w:rFonts w:hint="eastAsia" w:ascii="楷体" w:hAnsi="楷体" w:eastAsia="楷体" w:cs="楷体"/>
              <w:bCs/>
              <w:color w:val="auto"/>
              <w:sz w:val="28"/>
              <w:szCs w:val="48"/>
            </w:rPr>
            <w:t>（二）起草单位</w:t>
          </w:r>
          <w:r>
            <w:rPr>
              <w:color w:val="auto"/>
              <w:sz w:val="28"/>
              <w:szCs w:val="28"/>
            </w:rPr>
            <w:tab/>
          </w:r>
          <w:r>
            <w:rPr>
              <w:color w:val="auto"/>
              <w:sz w:val="28"/>
              <w:szCs w:val="28"/>
            </w:rPr>
            <w:fldChar w:fldCharType="begin"/>
          </w:r>
          <w:r>
            <w:rPr>
              <w:color w:val="auto"/>
              <w:sz w:val="28"/>
              <w:szCs w:val="28"/>
            </w:rPr>
            <w:instrText xml:space="preserve"> PAGEREF _Toc8093 \h </w:instrText>
          </w:r>
          <w:r>
            <w:rPr>
              <w:color w:val="auto"/>
              <w:sz w:val="28"/>
              <w:szCs w:val="28"/>
            </w:rPr>
            <w:fldChar w:fldCharType="separate"/>
          </w:r>
          <w:r>
            <w:rPr>
              <w:color w:val="auto"/>
              <w:sz w:val="28"/>
              <w:szCs w:val="28"/>
            </w:rPr>
            <w:t>- 1 -</w:t>
          </w:r>
          <w:r>
            <w:rPr>
              <w:color w:val="auto"/>
              <w:sz w:val="28"/>
              <w:szCs w:val="28"/>
            </w:rPr>
            <w:fldChar w:fldCharType="end"/>
          </w:r>
          <w:r>
            <w:rPr>
              <w:color w:val="auto"/>
              <w:sz w:val="28"/>
              <w:szCs w:val="28"/>
            </w:rPr>
            <w:fldChar w:fldCharType="end"/>
          </w:r>
        </w:p>
        <w:p w14:paraId="5886709F">
          <w:pPr>
            <w:pStyle w:val="17"/>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color w:val="auto"/>
              <w:sz w:val="28"/>
              <w:szCs w:val="28"/>
            </w:rPr>
          </w:pPr>
          <w:r>
            <w:rPr>
              <w:color w:val="auto"/>
              <w:sz w:val="28"/>
              <w:szCs w:val="28"/>
            </w:rPr>
            <w:fldChar w:fldCharType="begin"/>
          </w:r>
          <w:r>
            <w:rPr>
              <w:color w:val="auto"/>
              <w:sz w:val="28"/>
              <w:szCs w:val="28"/>
            </w:rPr>
            <w:instrText xml:space="preserve"> HYPERLINK \l _Toc6245 </w:instrText>
          </w:r>
          <w:r>
            <w:rPr>
              <w:color w:val="auto"/>
              <w:sz w:val="28"/>
              <w:szCs w:val="28"/>
            </w:rPr>
            <w:fldChar w:fldCharType="separate"/>
          </w:r>
          <w:r>
            <w:rPr>
              <w:rFonts w:hint="eastAsia" w:ascii="楷体" w:hAnsi="楷体" w:eastAsia="楷体" w:cs="楷体"/>
              <w:bCs/>
              <w:color w:val="auto"/>
              <w:sz w:val="28"/>
              <w:szCs w:val="48"/>
            </w:rPr>
            <w:t>（三）主要</w:t>
          </w:r>
          <w:r>
            <w:rPr>
              <w:rFonts w:ascii="楷体" w:hAnsi="楷体" w:eastAsia="楷体" w:cs="楷体"/>
              <w:bCs/>
              <w:color w:val="auto"/>
              <w:sz w:val="28"/>
              <w:szCs w:val="48"/>
            </w:rPr>
            <w:t>起草人</w:t>
          </w:r>
          <w:r>
            <w:rPr>
              <w:rFonts w:hint="eastAsia" w:ascii="楷体" w:hAnsi="楷体" w:eastAsia="楷体" w:cs="楷体"/>
              <w:bCs/>
              <w:color w:val="auto"/>
              <w:sz w:val="28"/>
              <w:szCs w:val="48"/>
              <w:lang w:eastAsia="zh-CN"/>
            </w:rPr>
            <w:t>及分工</w:t>
          </w:r>
          <w:r>
            <w:rPr>
              <w:color w:val="auto"/>
              <w:sz w:val="28"/>
              <w:szCs w:val="28"/>
            </w:rPr>
            <w:tab/>
          </w:r>
          <w:r>
            <w:rPr>
              <w:color w:val="auto"/>
              <w:sz w:val="28"/>
              <w:szCs w:val="28"/>
            </w:rPr>
            <w:fldChar w:fldCharType="begin"/>
          </w:r>
          <w:r>
            <w:rPr>
              <w:color w:val="auto"/>
              <w:sz w:val="28"/>
              <w:szCs w:val="28"/>
            </w:rPr>
            <w:instrText xml:space="preserve"> PAGEREF _Toc6245 \h </w:instrText>
          </w:r>
          <w:r>
            <w:rPr>
              <w:color w:val="auto"/>
              <w:sz w:val="28"/>
              <w:szCs w:val="28"/>
            </w:rPr>
            <w:fldChar w:fldCharType="separate"/>
          </w:r>
          <w:r>
            <w:rPr>
              <w:color w:val="auto"/>
              <w:sz w:val="28"/>
              <w:szCs w:val="28"/>
            </w:rPr>
            <w:t>- 1 -</w:t>
          </w:r>
          <w:r>
            <w:rPr>
              <w:color w:val="auto"/>
              <w:sz w:val="28"/>
              <w:szCs w:val="28"/>
            </w:rPr>
            <w:fldChar w:fldCharType="end"/>
          </w:r>
          <w:r>
            <w:rPr>
              <w:color w:val="auto"/>
              <w:sz w:val="28"/>
              <w:szCs w:val="28"/>
            </w:rPr>
            <w:fldChar w:fldCharType="end"/>
          </w:r>
        </w:p>
        <w:p w14:paraId="2A2D1A00">
          <w:pPr>
            <w:pStyle w:val="16"/>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b/>
              <w:color w:val="auto"/>
              <w:sz w:val="28"/>
              <w:szCs w:val="28"/>
            </w:rPr>
          </w:pPr>
          <w:r>
            <w:rPr>
              <w:b/>
              <w:color w:val="auto"/>
              <w:sz w:val="28"/>
              <w:szCs w:val="28"/>
            </w:rPr>
            <w:fldChar w:fldCharType="begin"/>
          </w:r>
          <w:r>
            <w:rPr>
              <w:b/>
              <w:color w:val="auto"/>
              <w:sz w:val="28"/>
              <w:szCs w:val="28"/>
            </w:rPr>
            <w:instrText xml:space="preserve"> HYPERLINK \l _Toc9799 </w:instrText>
          </w:r>
          <w:r>
            <w:rPr>
              <w:b/>
              <w:color w:val="auto"/>
              <w:sz w:val="28"/>
              <w:szCs w:val="28"/>
            </w:rPr>
            <w:fldChar w:fldCharType="separate"/>
          </w:r>
          <w:r>
            <w:rPr>
              <w:rFonts w:hint="eastAsia" w:ascii="黑体" w:hAnsi="黑体" w:eastAsia="黑体" w:cs="黑体"/>
              <w:b/>
              <w:color w:val="auto"/>
              <w:sz w:val="28"/>
              <w:szCs w:val="48"/>
            </w:rPr>
            <w:t>二</w:t>
          </w:r>
          <w:r>
            <w:rPr>
              <w:rFonts w:ascii="黑体" w:hAnsi="黑体" w:eastAsia="黑体" w:cs="黑体"/>
              <w:b/>
              <w:color w:val="auto"/>
              <w:sz w:val="28"/>
              <w:szCs w:val="48"/>
            </w:rPr>
            <w:t>、制定标准的必要性和意义</w:t>
          </w:r>
          <w:r>
            <w:rPr>
              <w:b/>
              <w:color w:val="auto"/>
              <w:sz w:val="28"/>
              <w:szCs w:val="28"/>
            </w:rPr>
            <w:tab/>
          </w:r>
          <w:r>
            <w:rPr>
              <w:b/>
              <w:color w:val="auto"/>
              <w:sz w:val="28"/>
              <w:szCs w:val="28"/>
            </w:rPr>
            <w:fldChar w:fldCharType="begin"/>
          </w:r>
          <w:r>
            <w:rPr>
              <w:b/>
              <w:color w:val="auto"/>
              <w:sz w:val="28"/>
              <w:szCs w:val="28"/>
            </w:rPr>
            <w:instrText xml:space="preserve"> PAGEREF _Toc9799 \h </w:instrText>
          </w:r>
          <w:r>
            <w:rPr>
              <w:b/>
              <w:color w:val="auto"/>
              <w:sz w:val="28"/>
              <w:szCs w:val="28"/>
            </w:rPr>
            <w:fldChar w:fldCharType="separate"/>
          </w:r>
          <w:r>
            <w:rPr>
              <w:b/>
              <w:color w:val="auto"/>
              <w:sz w:val="28"/>
              <w:szCs w:val="28"/>
            </w:rPr>
            <w:t>- 2 -</w:t>
          </w:r>
          <w:r>
            <w:rPr>
              <w:b/>
              <w:color w:val="auto"/>
              <w:sz w:val="28"/>
              <w:szCs w:val="28"/>
            </w:rPr>
            <w:fldChar w:fldCharType="end"/>
          </w:r>
          <w:r>
            <w:rPr>
              <w:b/>
              <w:color w:val="auto"/>
              <w:sz w:val="28"/>
              <w:szCs w:val="28"/>
            </w:rPr>
            <w:fldChar w:fldCharType="end"/>
          </w:r>
        </w:p>
        <w:p w14:paraId="60F31B67">
          <w:pPr>
            <w:pStyle w:val="16"/>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b/>
              <w:color w:val="auto"/>
              <w:sz w:val="28"/>
              <w:szCs w:val="28"/>
            </w:rPr>
          </w:pPr>
          <w:r>
            <w:rPr>
              <w:b/>
              <w:color w:val="auto"/>
              <w:sz w:val="28"/>
              <w:szCs w:val="28"/>
            </w:rPr>
            <w:fldChar w:fldCharType="begin"/>
          </w:r>
          <w:r>
            <w:rPr>
              <w:b/>
              <w:color w:val="auto"/>
              <w:sz w:val="28"/>
              <w:szCs w:val="28"/>
            </w:rPr>
            <w:instrText xml:space="preserve"> HYPERLINK \l _Toc9638 </w:instrText>
          </w:r>
          <w:r>
            <w:rPr>
              <w:b/>
              <w:color w:val="auto"/>
              <w:sz w:val="28"/>
              <w:szCs w:val="28"/>
            </w:rPr>
            <w:fldChar w:fldCharType="separate"/>
          </w:r>
          <w:r>
            <w:rPr>
              <w:rFonts w:hint="eastAsia" w:ascii="黑体" w:hAnsi="黑体" w:eastAsia="黑体" w:cs="黑体"/>
              <w:b/>
              <w:color w:val="auto"/>
              <w:sz w:val="28"/>
              <w:szCs w:val="48"/>
            </w:rPr>
            <w:t>三</w:t>
          </w:r>
          <w:r>
            <w:rPr>
              <w:rFonts w:ascii="黑体" w:hAnsi="黑体" w:eastAsia="黑体" w:cs="黑体"/>
              <w:b/>
              <w:color w:val="auto"/>
              <w:sz w:val="28"/>
              <w:szCs w:val="48"/>
            </w:rPr>
            <w:t>、</w:t>
          </w:r>
          <w:r>
            <w:rPr>
              <w:rFonts w:hint="eastAsia" w:ascii="黑体" w:hAnsi="黑体" w:eastAsia="黑体" w:cs="黑体"/>
              <w:b/>
              <w:color w:val="auto"/>
              <w:sz w:val="28"/>
              <w:szCs w:val="48"/>
            </w:rPr>
            <w:t>主要起草过程</w:t>
          </w:r>
          <w:r>
            <w:rPr>
              <w:b/>
              <w:color w:val="auto"/>
              <w:sz w:val="28"/>
              <w:szCs w:val="28"/>
            </w:rPr>
            <w:tab/>
          </w:r>
          <w:r>
            <w:rPr>
              <w:b/>
              <w:color w:val="auto"/>
              <w:sz w:val="28"/>
              <w:szCs w:val="28"/>
            </w:rPr>
            <w:fldChar w:fldCharType="begin"/>
          </w:r>
          <w:r>
            <w:rPr>
              <w:b/>
              <w:color w:val="auto"/>
              <w:sz w:val="28"/>
              <w:szCs w:val="28"/>
            </w:rPr>
            <w:instrText xml:space="preserve"> PAGEREF _Toc9638 \h </w:instrText>
          </w:r>
          <w:r>
            <w:rPr>
              <w:b/>
              <w:color w:val="auto"/>
              <w:sz w:val="28"/>
              <w:szCs w:val="28"/>
            </w:rPr>
            <w:fldChar w:fldCharType="separate"/>
          </w:r>
          <w:r>
            <w:rPr>
              <w:b/>
              <w:color w:val="auto"/>
              <w:sz w:val="28"/>
              <w:szCs w:val="28"/>
            </w:rPr>
            <w:t xml:space="preserve">- </w:t>
          </w:r>
          <w:r>
            <w:rPr>
              <w:rFonts w:hint="eastAsia"/>
              <w:b/>
              <w:color w:val="auto"/>
              <w:sz w:val="28"/>
              <w:szCs w:val="28"/>
              <w:lang w:val="en-US" w:eastAsia="zh-CN"/>
            </w:rPr>
            <w:t>4</w:t>
          </w:r>
          <w:r>
            <w:rPr>
              <w:b/>
              <w:color w:val="auto"/>
              <w:sz w:val="28"/>
              <w:szCs w:val="28"/>
            </w:rPr>
            <w:t xml:space="preserve"> -</w:t>
          </w:r>
          <w:r>
            <w:rPr>
              <w:b/>
              <w:color w:val="auto"/>
              <w:sz w:val="28"/>
              <w:szCs w:val="28"/>
            </w:rPr>
            <w:fldChar w:fldCharType="end"/>
          </w:r>
          <w:r>
            <w:rPr>
              <w:b/>
              <w:color w:val="auto"/>
              <w:sz w:val="28"/>
              <w:szCs w:val="28"/>
            </w:rPr>
            <w:fldChar w:fldCharType="end"/>
          </w:r>
        </w:p>
        <w:p w14:paraId="5CDA545A">
          <w:pPr>
            <w:pStyle w:val="17"/>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color w:val="auto"/>
              <w:sz w:val="28"/>
              <w:szCs w:val="28"/>
            </w:rPr>
          </w:pPr>
          <w:r>
            <w:rPr>
              <w:color w:val="auto"/>
              <w:sz w:val="28"/>
              <w:szCs w:val="28"/>
            </w:rPr>
            <w:fldChar w:fldCharType="begin"/>
          </w:r>
          <w:r>
            <w:rPr>
              <w:color w:val="auto"/>
              <w:sz w:val="28"/>
              <w:szCs w:val="28"/>
            </w:rPr>
            <w:instrText xml:space="preserve"> HYPERLINK \l _Toc14182 </w:instrText>
          </w:r>
          <w:r>
            <w:rPr>
              <w:color w:val="auto"/>
              <w:sz w:val="28"/>
              <w:szCs w:val="28"/>
            </w:rPr>
            <w:fldChar w:fldCharType="separate"/>
          </w:r>
          <w:r>
            <w:rPr>
              <w:rFonts w:hint="eastAsia" w:ascii="楷体" w:hAnsi="楷体" w:eastAsia="楷体" w:cs="楷体"/>
              <w:bCs/>
              <w:color w:val="auto"/>
              <w:sz w:val="28"/>
              <w:szCs w:val="48"/>
            </w:rPr>
            <w:t>（一）成立起草组、确定分工</w:t>
          </w:r>
          <w:r>
            <w:rPr>
              <w:color w:val="auto"/>
              <w:sz w:val="28"/>
              <w:szCs w:val="28"/>
            </w:rPr>
            <w:tab/>
          </w:r>
          <w:r>
            <w:rPr>
              <w:color w:val="auto"/>
              <w:sz w:val="28"/>
              <w:szCs w:val="28"/>
            </w:rPr>
            <w:fldChar w:fldCharType="begin"/>
          </w:r>
          <w:r>
            <w:rPr>
              <w:color w:val="auto"/>
              <w:sz w:val="28"/>
              <w:szCs w:val="28"/>
            </w:rPr>
            <w:instrText xml:space="preserve"> PAGEREF _Toc14182 \h </w:instrText>
          </w:r>
          <w:r>
            <w:rPr>
              <w:color w:val="auto"/>
              <w:sz w:val="28"/>
              <w:szCs w:val="28"/>
            </w:rPr>
            <w:fldChar w:fldCharType="separate"/>
          </w:r>
          <w:r>
            <w:rPr>
              <w:color w:val="auto"/>
              <w:sz w:val="28"/>
              <w:szCs w:val="28"/>
            </w:rPr>
            <w:t xml:space="preserve">- </w:t>
          </w:r>
          <w:r>
            <w:rPr>
              <w:rFonts w:hint="eastAsia"/>
              <w:color w:val="auto"/>
              <w:sz w:val="28"/>
              <w:szCs w:val="28"/>
              <w:lang w:val="en-US" w:eastAsia="zh-CN"/>
            </w:rPr>
            <w:t>4</w:t>
          </w:r>
          <w:r>
            <w:rPr>
              <w:color w:val="auto"/>
              <w:sz w:val="28"/>
              <w:szCs w:val="28"/>
            </w:rPr>
            <w:t xml:space="preserve"> -</w:t>
          </w:r>
          <w:r>
            <w:rPr>
              <w:color w:val="auto"/>
              <w:sz w:val="28"/>
              <w:szCs w:val="28"/>
            </w:rPr>
            <w:fldChar w:fldCharType="end"/>
          </w:r>
          <w:r>
            <w:rPr>
              <w:color w:val="auto"/>
              <w:sz w:val="28"/>
              <w:szCs w:val="28"/>
            </w:rPr>
            <w:fldChar w:fldCharType="end"/>
          </w:r>
        </w:p>
        <w:p w14:paraId="18AA7DAA">
          <w:pPr>
            <w:pStyle w:val="17"/>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color w:val="auto"/>
              <w:sz w:val="28"/>
              <w:szCs w:val="28"/>
            </w:rPr>
          </w:pPr>
          <w:r>
            <w:rPr>
              <w:color w:val="auto"/>
              <w:sz w:val="28"/>
              <w:szCs w:val="28"/>
            </w:rPr>
            <w:fldChar w:fldCharType="begin"/>
          </w:r>
          <w:r>
            <w:rPr>
              <w:color w:val="auto"/>
              <w:sz w:val="28"/>
              <w:szCs w:val="28"/>
            </w:rPr>
            <w:instrText xml:space="preserve"> HYPERLINK \l _Toc29116 </w:instrText>
          </w:r>
          <w:r>
            <w:rPr>
              <w:color w:val="auto"/>
              <w:sz w:val="28"/>
              <w:szCs w:val="28"/>
            </w:rPr>
            <w:fldChar w:fldCharType="separate"/>
          </w:r>
          <w:r>
            <w:rPr>
              <w:rFonts w:hint="eastAsia" w:ascii="楷体" w:hAnsi="楷体" w:eastAsia="楷体" w:cs="楷体"/>
              <w:bCs/>
              <w:color w:val="auto"/>
              <w:sz w:val="28"/>
              <w:szCs w:val="48"/>
            </w:rPr>
            <w:t>（二）</w:t>
          </w:r>
          <w:r>
            <w:rPr>
              <w:rFonts w:hint="eastAsia" w:ascii="楷体" w:hAnsi="楷体" w:eastAsia="楷体" w:cs="楷体"/>
              <w:bCs/>
              <w:color w:val="auto"/>
              <w:sz w:val="28"/>
              <w:szCs w:val="48"/>
              <w:lang w:eastAsia="zh-CN"/>
            </w:rPr>
            <w:t>全面</w:t>
          </w:r>
          <w:r>
            <w:rPr>
              <w:rFonts w:hint="eastAsia" w:ascii="楷体" w:hAnsi="楷体" w:eastAsia="楷体" w:cs="楷体"/>
              <w:bCs/>
              <w:color w:val="auto"/>
              <w:sz w:val="28"/>
              <w:szCs w:val="48"/>
            </w:rPr>
            <w:t>收集资料</w:t>
          </w:r>
          <w:r>
            <w:rPr>
              <w:rFonts w:hint="eastAsia" w:ascii="楷体" w:hAnsi="楷体" w:eastAsia="楷体" w:cs="楷体"/>
              <w:bCs/>
              <w:color w:val="auto"/>
              <w:sz w:val="28"/>
              <w:szCs w:val="48"/>
              <w:lang w:eastAsia="zh-CN"/>
            </w:rPr>
            <w:t>并开展实地调研</w:t>
          </w:r>
          <w:r>
            <w:rPr>
              <w:color w:val="auto"/>
              <w:sz w:val="28"/>
              <w:szCs w:val="28"/>
            </w:rPr>
            <w:tab/>
          </w:r>
          <w:r>
            <w:rPr>
              <w:color w:val="auto"/>
              <w:sz w:val="28"/>
              <w:szCs w:val="28"/>
            </w:rPr>
            <w:fldChar w:fldCharType="begin"/>
          </w:r>
          <w:r>
            <w:rPr>
              <w:color w:val="auto"/>
              <w:sz w:val="28"/>
              <w:szCs w:val="28"/>
            </w:rPr>
            <w:instrText xml:space="preserve"> PAGEREF _Toc29116 \h </w:instrText>
          </w:r>
          <w:r>
            <w:rPr>
              <w:color w:val="auto"/>
              <w:sz w:val="28"/>
              <w:szCs w:val="28"/>
            </w:rPr>
            <w:fldChar w:fldCharType="separate"/>
          </w:r>
          <w:r>
            <w:rPr>
              <w:color w:val="auto"/>
              <w:sz w:val="28"/>
              <w:szCs w:val="28"/>
            </w:rPr>
            <w:t xml:space="preserve">- </w:t>
          </w:r>
          <w:r>
            <w:rPr>
              <w:rFonts w:hint="eastAsia"/>
              <w:color w:val="auto"/>
              <w:sz w:val="28"/>
              <w:szCs w:val="28"/>
              <w:lang w:val="en-US" w:eastAsia="zh-CN"/>
            </w:rPr>
            <w:t>5</w:t>
          </w:r>
          <w:r>
            <w:rPr>
              <w:color w:val="auto"/>
              <w:sz w:val="28"/>
              <w:szCs w:val="28"/>
            </w:rPr>
            <w:t xml:space="preserve"> -</w:t>
          </w:r>
          <w:r>
            <w:rPr>
              <w:color w:val="auto"/>
              <w:sz w:val="28"/>
              <w:szCs w:val="28"/>
            </w:rPr>
            <w:fldChar w:fldCharType="end"/>
          </w:r>
          <w:r>
            <w:rPr>
              <w:color w:val="auto"/>
              <w:sz w:val="28"/>
              <w:szCs w:val="28"/>
            </w:rPr>
            <w:fldChar w:fldCharType="end"/>
          </w:r>
        </w:p>
        <w:p w14:paraId="36E02397">
          <w:pPr>
            <w:pStyle w:val="17"/>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color w:val="auto"/>
              <w:sz w:val="28"/>
              <w:szCs w:val="28"/>
            </w:rPr>
          </w:pPr>
          <w:r>
            <w:rPr>
              <w:color w:val="auto"/>
              <w:sz w:val="28"/>
              <w:szCs w:val="28"/>
            </w:rPr>
            <w:fldChar w:fldCharType="begin"/>
          </w:r>
          <w:r>
            <w:rPr>
              <w:color w:val="auto"/>
              <w:sz w:val="28"/>
              <w:szCs w:val="28"/>
            </w:rPr>
            <w:instrText xml:space="preserve"> HYPERLINK \l _Toc22120 </w:instrText>
          </w:r>
          <w:r>
            <w:rPr>
              <w:color w:val="auto"/>
              <w:sz w:val="28"/>
              <w:szCs w:val="28"/>
            </w:rPr>
            <w:fldChar w:fldCharType="separate"/>
          </w:r>
          <w:r>
            <w:rPr>
              <w:rFonts w:hint="eastAsia" w:ascii="楷体" w:hAnsi="楷体" w:eastAsia="楷体" w:cs="楷体"/>
              <w:bCs/>
              <w:color w:val="auto"/>
              <w:sz w:val="28"/>
              <w:szCs w:val="48"/>
            </w:rPr>
            <w:t>（三）编制</w:t>
          </w:r>
          <w:r>
            <w:rPr>
              <w:rFonts w:hint="eastAsia" w:ascii="楷体" w:hAnsi="楷体" w:eastAsia="楷体" w:cs="楷体"/>
              <w:bCs/>
              <w:color w:val="auto"/>
              <w:sz w:val="28"/>
              <w:szCs w:val="48"/>
              <w:lang w:eastAsia="zh-CN"/>
            </w:rPr>
            <w:t>并完善</w:t>
          </w:r>
          <w:r>
            <w:rPr>
              <w:rFonts w:hint="eastAsia" w:ascii="楷体" w:hAnsi="楷体" w:eastAsia="楷体" w:cs="楷体"/>
              <w:bCs/>
              <w:color w:val="auto"/>
              <w:sz w:val="28"/>
              <w:szCs w:val="48"/>
            </w:rPr>
            <w:t>标准草案</w:t>
          </w:r>
          <w:r>
            <w:rPr>
              <w:color w:val="auto"/>
              <w:sz w:val="28"/>
              <w:szCs w:val="28"/>
            </w:rPr>
            <w:tab/>
          </w:r>
          <w:r>
            <w:rPr>
              <w:color w:val="auto"/>
              <w:sz w:val="28"/>
              <w:szCs w:val="28"/>
            </w:rPr>
            <w:fldChar w:fldCharType="begin"/>
          </w:r>
          <w:r>
            <w:rPr>
              <w:color w:val="auto"/>
              <w:sz w:val="28"/>
              <w:szCs w:val="28"/>
            </w:rPr>
            <w:instrText xml:space="preserve"> PAGEREF _Toc22120 \h </w:instrText>
          </w:r>
          <w:r>
            <w:rPr>
              <w:color w:val="auto"/>
              <w:sz w:val="28"/>
              <w:szCs w:val="28"/>
            </w:rPr>
            <w:fldChar w:fldCharType="separate"/>
          </w:r>
          <w:r>
            <w:rPr>
              <w:color w:val="auto"/>
              <w:sz w:val="28"/>
              <w:szCs w:val="28"/>
            </w:rPr>
            <w:t xml:space="preserve">- </w:t>
          </w:r>
          <w:r>
            <w:rPr>
              <w:rFonts w:hint="eastAsia"/>
              <w:color w:val="auto"/>
              <w:sz w:val="28"/>
              <w:szCs w:val="28"/>
              <w:lang w:val="en-US" w:eastAsia="zh-CN"/>
            </w:rPr>
            <w:t>5</w:t>
          </w:r>
          <w:r>
            <w:rPr>
              <w:color w:val="auto"/>
              <w:sz w:val="28"/>
              <w:szCs w:val="28"/>
            </w:rPr>
            <w:t xml:space="preserve"> -</w:t>
          </w:r>
          <w:r>
            <w:rPr>
              <w:color w:val="auto"/>
              <w:sz w:val="28"/>
              <w:szCs w:val="28"/>
            </w:rPr>
            <w:fldChar w:fldCharType="end"/>
          </w:r>
          <w:r>
            <w:rPr>
              <w:color w:val="auto"/>
              <w:sz w:val="28"/>
              <w:szCs w:val="28"/>
            </w:rPr>
            <w:fldChar w:fldCharType="end"/>
          </w:r>
        </w:p>
        <w:p w14:paraId="4A483673">
          <w:pPr>
            <w:pStyle w:val="17"/>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color w:val="auto"/>
              <w:sz w:val="28"/>
              <w:szCs w:val="28"/>
            </w:rPr>
          </w:pPr>
          <w:r>
            <w:rPr>
              <w:color w:val="auto"/>
              <w:sz w:val="28"/>
              <w:szCs w:val="28"/>
            </w:rPr>
            <w:fldChar w:fldCharType="begin"/>
          </w:r>
          <w:r>
            <w:rPr>
              <w:color w:val="auto"/>
              <w:sz w:val="28"/>
              <w:szCs w:val="28"/>
            </w:rPr>
            <w:instrText xml:space="preserve"> HYPERLINK \l _Toc1546 </w:instrText>
          </w:r>
          <w:r>
            <w:rPr>
              <w:color w:val="auto"/>
              <w:sz w:val="28"/>
              <w:szCs w:val="28"/>
            </w:rPr>
            <w:fldChar w:fldCharType="separate"/>
          </w:r>
          <w:r>
            <w:rPr>
              <w:rFonts w:hint="eastAsia" w:ascii="楷体" w:hAnsi="楷体" w:eastAsia="楷体" w:cs="楷体"/>
              <w:bCs/>
              <w:color w:val="auto"/>
              <w:sz w:val="28"/>
              <w:szCs w:val="48"/>
            </w:rPr>
            <w:t>（四）</w:t>
          </w:r>
          <w:r>
            <w:rPr>
              <w:rFonts w:hint="eastAsia" w:ascii="楷体" w:hAnsi="楷体" w:eastAsia="楷体" w:cs="楷体"/>
              <w:bCs/>
              <w:color w:val="auto"/>
              <w:sz w:val="28"/>
              <w:szCs w:val="48"/>
              <w:lang w:eastAsia="zh-CN"/>
            </w:rPr>
            <w:t>试验验证与</w:t>
          </w:r>
          <w:r>
            <w:rPr>
              <w:rFonts w:hint="eastAsia" w:ascii="楷体" w:hAnsi="楷体" w:eastAsia="楷体" w:cs="楷体"/>
              <w:bCs/>
              <w:color w:val="auto"/>
              <w:sz w:val="28"/>
              <w:szCs w:val="48"/>
            </w:rPr>
            <w:t>征</w:t>
          </w:r>
          <w:r>
            <w:rPr>
              <w:rFonts w:hint="eastAsia" w:ascii="楷体" w:hAnsi="楷体" w:eastAsia="楷体" w:cs="楷体"/>
              <w:bCs/>
              <w:color w:val="auto"/>
              <w:sz w:val="28"/>
              <w:szCs w:val="48"/>
              <w:lang w:eastAsia="zh-CN"/>
            </w:rPr>
            <w:t>求</w:t>
          </w:r>
          <w:r>
            <w:rPr>
              <w:rFonts w:hint="eastAsia" w:ascii="楷体" w:hAnsi="楷体" w:eastAsia="楷体" w:cs="楷体"/>
              <w:bCs/>
              <w:color w:val="auto"/>
              <w:sz w:val="28"/>
              <w:szCs w:val="48"/>
            </w:rPr>
            <w:t>意见</w:t>
          </w:r>
          <w:r>
            <w:rPr>
              <w:color w:val="auto"/>
              <w:sz w:val="28"/>
              <w:szCs w:val="28"/>
            </w:rPr>
            <w:tab/>
          </w:r>
          <w:r>
            <w:rPr>
              <w:color w:val="auto"/>
              <w:sz w:val="28"/>
              <w:szCs w:val="28"/>
            </w:rPr>
            <w:fldChar w:fldCharType="begin"/>
          </w:r>
          <w:r>
            <w:rPr>
              <w:color w:val="auto"/>
              <w:sz w:val="28"/>
              <w:szCs w:val="28"/>
            </w:rPr>
            <w:instrText xml:space="preserve"> PAGEREF _Toc1546 \h </w:instrText>
          </w:r>
          <w:r>
            <w:rPr>
              <w:color w:val="auto"/>
              <w:sz w:val="28"/>
              <w:szCs w:val="28"/>
            </w:rPr>
            <w:fldChar w:fldCharType="separate"/>
          </w:r>
          <w:r>
            <w:rPr>
              <w:color w:val="auto"/>
              <w:sz w:val="28"/>
              <w:szCs w:val="28"/>
            </w:rPr>
            <w:t xml:space="preserve">- </w:t>
          </w:r>
          <w:r>
            <w:rPr>
              <w:rFonts w:hint="eastAsia"/>
              <w:color w:val="auto"/>
              <w:sz w:val="28"/>
              <w:szCs w:val="28"/>
              <w:lang w:val="en-US" w:eastAsia="zh-CN"/>
            </w:rPr>
            <w:t>6</w:t>
          </w:r>
          <w:r>
            <w:rPr>
              <w:color w:val="auto"/>
              <w:sz w:val="28"/>
              <w:szCs w:val="28"/>
            </w:rPr>
            <w:t xml:space="preserve"> -</w:t>
          </w:r>
          <w:r>
            <w:rPr>
              <w:color w:val="auto"/>
              <w:sz w:val="28"/>
              <w:szCs w:val="28"/>
            </w:rPr>
            <w:fldChar w:fldCharType="end"/>
          </w:r>
          <w:r>
            <w:rPr>
              <w:color w:val="auto"/>
              <w:sz w:val="28"/>
              <w:szCs w:val="28"/>
            </w:rPr>
            <w:fldChar w:fldCharType="end"/>
          </w:r>
        </w:p>
        <w:p w14:paraId="08E85312">
          <w:pPr>
            <w:pStyle w:val="17"/>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color w:val="auto"/>
              <w:sz w:val="28"/>
              <w:szCs w:val="28"/>
            </w:rPr>
          </w:pPr>
          <w:r>
            <w:rPr>
              <w:color w:val="auto"/>
              <w:sz w:val="28"/>
              <w:szCs w:val="28"/>
            </w:rPr>
            <w:fldChar w:fldCharType="begin"/>
          </w:r>
          <w:r>
            <w:rPr>
              <w:color w:val="auto"/>
              <w:sz w:val="28"/>
              <w:szCs w:val="28"/>
            </w:rPr>
            <w:instrText xml:space="preserve"> HYPERLINK \l _Toc21540 </w:instrText>
          </w:r>
          <w:r>
            <w:rPr>
              <w:color w:val="auto"/>
              <w:sz w:val="28"/>
              <w:szCs w:val="28"/>
            </w:rPr>
            <w:fldChar w:fldCharType="separate"/>
          </w:r>
          <w:r>
            <w:rPr>
              <w:rFonts w:hint="eastAsia" w:ascii="楷体" w:hAnsi="楷体" w:eastAsia="楷体" w:cs="楷体"/>
              <w:bCs/>
              <w:color w:val="auto"/>
              <w:kern w:val="2"/>
              <w:sz w:val="28"/>
              <w:szCs w:val="48"/>
              <w:lang w:val="en-US" w:eastAsia="zh-CN" w:bidi="ar-SA"/>
            </w:rPr>
            <w:t>（五）形成送审稿与</w:t>
          </w:r>
          <w:r>
            <w:rPr>
              <w:rFonts w:hint="eastAsia" w:ascii="楷体" w:hAnsi="楷体" w:eastAsia="楷体" w:cs="楷体"/>
              <w:bCs/>
              <w:color w:val="auto"/>
              <w:sz w:val="28"/>
              <w:szCs w:val="48"/>
            </w:rPr>
            <w:t>报批</w:t>
          </w:r>
          <w:r>
            <w:rPr>
              <w:color w:val="auto"/>
              <w:sz w:val="28"/>
              <w:szCs w:val="28"/>
            </w:rPr>
            <w:tab/>
          </w:r>
          <w:r>
            <w:rPr>
              <w:color w:val="auto"/>
              <w:sz w:val="28"/>
              <w:szCs w:val="28"/>
            </w:rPr>
            <w:fldChar w:fldCharType="begin"/>
          </w:r>
          <w:r>
            <w:rPr>
              <w:color w:val="auto"/>
              <w:sz w:val="28"/>
              <w:szCs w:val="28"/>
            </w:rPr>
            <w:instrText xml:space="preserve"> PAGEREF _Toc21540 \h </w:instrText>
          </w:r>
          <w:r>
            <w:rPr>
              <w:color w:val="auto"/>
              <w:sz w:val="28"/>
              <w:szCs w:val="28"/>
            </w:rPr>
            <w:fldChar w:fldCharType="separate"/>
          </w:r>
          <w:r>
            <w:rPr>
              <w:color w:val="auto"/>
              <w:sz w:val="28"/>
              <w:szCs w:val="28"/>
            </w:rPr>
            <w:t xml:space="preserve">- </w:t>
          </w:r>
          <w:r>
            <w:rPr>
              <w:rFonts w:hint="eastAsia"/>
              <w:color w:val="auto"/>
              <w:sz w:val="28"/>
              <w:szCs w:val="28"/>
              <w:lang w:val="en-US" w:eastAsia="zh-CN"/>
            </w:rPr>
            <w:t>7</w:t>
          </w:r>
          <w:r>
            <w:rPr>
              <w:color w:val="auto"/>
              <w:sz w:val="28"/>
              <w:szCs w:val="28"/>
            </w:rPr>
            <w:t xml:space="preserve"> -</w:t>
          </w:r>
          <w:r>
            <w:rPr>
              <w:color w:val="auto"/>
              <w:sz w:val="28"/>
              <w:szCs w:val="28"/>
            </w:rPr>
            <w:fldChar w:fldCharType="end"/>
          </w:r>
          <w:r>
            <w:rPr>
              <w:color w:val="auto"/>
              <w:sz w:val="28"/>
              <w:szCs w:val="28"/>
            </w:rPr>
            <w:fldChar w:fldCharType="end"/>
          </w:r>
        </w:p>
        <w:p w14:paraId="49EA6B86">
          <w:pPr>
            <w:pStyle w:val="16"/>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b/>
              <w:color w:val="auto"/>
              <w:sz w:val="28"/>
              <w:szCs w:val="28"/>
            </w:rPr>
          </w:pPr>
          <w:r>
            <w:rPr>
              <w:b/>
              <w:color w:val="auto"/>
              <w:sz w:val="28"/>
              <w:szCs w:val="28"/>
            </w:rPr>
            <w:fldChar w:fldCharType="begin"/>
          </w:r>
          <w:r>
            <w:rPr>
              <w:b/>
              <w:color w:val="auto"/>
              <w:sz w:val="28"/>
              <w:szCs w:val="28"/>
            </w:rPr>
            <w:instrText xml:space="preserve"> HYPERLINK \l _Toc12547 </w:instrText>
          </w:r>
          <w:r>
            <w:rPr>
              <w:b/>
              <w:color w:val="auto"/>
              <w:sz w:val="28"/>
              <w:szCs w:val="28"/>
            </w:rPr>
            <w:fldChar w:fldCharType="separate"/>
          </w:r>
          <w:r>
            <w:rPr>
              <w:rFonts w:hint="eastAsia" w:ascii="黑体" w:hAnsi="黑体" w:eastAsia="黑体" w:cs="黑体"/>
              <w:b/>
              <w:color w:val="auto"/>
              <w:sz w:val="28"/>
              <w:szCs w:val="48"/>
            </w:rPr>
            <w:t>四、编制原则和依据，与</w:t>
          </w:r>
          <w:r>
            <w:rPr>
              <w:rFonts w:ascii="黑体" w:hAnsi="黑体" w:eastAsia="黑体" w:cs="黑体"/>
              <w:b/>
              <w:color w:val="auto"/>
              <w:sz w:val="28"/>
              <w:szCs w:val="48"/>
            </w:rPr>
            <w:t>现行法律</w:t>
          </w:r>
          <w:r>
            <w:rPr>
              <w:rFonts w:hint="eastAsia" w:ascii="黑体" w:hAnsi="黑体" w:eastAsia="黑体" w:cs="黑体"/>
              <w:b/>
              <w:color w:val="auto"/>
              <w:sz w:val="28"/>
              <w:szCs w:val="48"/>
            </w:rPr>
            <w:t>、</w:t>
          </w:r>
          <w:r>
            <w:rPr>
              <w:rFonts w:ascii="黑体" w:hAnsi="黑体" w:eastAsia="黑体" w:cs="黑体"/>
              <w:b/>
              <w:color w:val="auto"/>
              <w:sz w:val="28"/>
              <w:szCs w:val="48"/>
            </w:rPr>
            <w:t>法规</w:t>
          </w:r>
          <w:r>
            <w:rPr>
              <w:rFonts w:hint="eastAsia" w:ascii="黑体" w:hAnsi="黑体" w:eastAsia="黑体" w:cs="黑体"/>
              <w:b/>
              <w:color w:val="auto"/>
              <w:sz w:val="28"/>
              <w:szCs w:val="48"/>
            </w:rPr>
            <w:t>、</w:t>
          </w:r>
          <w:r>
            <w:rPr>
              <w:rFonts w:ascii="黑体" w:hAnsi="黑体" w:eastAsia="黑体" w:cs="黑体"/>
              <w:b/>
              <w:color w:val="auto"/>
              <w:sz w:val="28"/>
              <w:szCs w:val="48"/>
            </w:rPr>
            <w:t>标准的</w:t>
          </w:r>
          <w:r>
            <w:rPr>
              <w:rFonts w:hint="eastAsia" w:ascii="黑体" w:hAnsi="黑体" w:eastAsia="黑体" w:cs="黑体"/>
              <w:b/>
              <w:color w:val="auto"/>
              <w:sz w:val="28"/>
              <w:szCs w:val="48"/>
            </w:rPr>
            <w:t>关系</w:t>
          </w:r>
          <w:r>
            <w:rPr>
              <w:b/>
              <w:color w:val="auto"/>
              <w:sz w:val="28"/>
              <w:szCs w:val="28"/>
            </w:rPr>
            <w:tab/>
          </w:r>
          <w:r>
            <w:rPr>
              <w:b/>
              <w:color w:val="auto"/>
              <w:sz w:val="28"/>
              <w:szCs w:val="28"/>
            </w:rPr>
            <w:fldChar w:fldCharType="begin"/>
          </w:r>
          <w:r>
            <w:rPr>
              <w:b/>
              <w:color w:val="auto"/>
              <w:sz w:val="28"/>
              <w:szCs w:val="28"/>
            </w:rPr>
            <w:instrText xml:space="preserve"> PAGEREF _Toc12547 \h </w:instrText>
          </w:r>
          <w:r>
            <w:rPr>
              <w:b/>
              <w:color w:val="auto"/>
              <w:sz w:val="28"/>
              <w:szCs w:val="28"/>
            </w:rPr>
            <w:fldChar w:fldCharType="separate"/>
          </w:r>
          <w:r>
            <w:rPr>
              <w:b/>
              <w:color w:val="auto"/>
              <w:sz w:val="28"/>
              <w:szCs w:val="28"/>
            </w:rPr>
            <w:t xml:space="preserve">- </w:t>
          </w:r>
          <w:r>
            <w:rPr>
              <w:rFonts w:hint="eastAsia"/>
              <w:b/>
              <w:color w:val="auto"/>
              <w:sz w:val="28"/>
              <w:szCs w:val="28"/>
              <w:lang w:val="en-US" w:eastAsia="zh-CN"/>
            </w:rPr>
            <w:t>7</w:t>
          </w:r>
          <w:r>
            <w:rPr>
              <w:b/>
              <w:color w:val="auto"/>
              <w:sz w:val="28"/>
              <w:szCs w:val="28"/>
            </w:rPr>
            <w:t xml:space="preserve"> -</w:t>
          </w:r>
          <w:r>
            <w:rPr>
              <w:b/>
              <w:color w:val="auto"/>
              <w:sz w:val="28"/>
              <w:szCs w:val="28"/>
            </w:rPr>
            <w:fldChar w:fldCharType="end"/>
          </w:r>
          <w:r>
            <w:rPr>
              <w:b/>
              <w:color w:val="auto"/>
              <w:sz w:val="28"/>
              <w:szCs w:val="28"/>
            </w:rPr>
            <w:fldChar w:fldCharType="end"/>
          </w:r>
        </w:p>
        <w:p w14:paraId="464C1D0A">
          <w:pPr>
            <w:pStyle w:val="17"/>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color w:val="auto"/>
              <w:sz w:val="28"/>
              <w:szCs w:val="28"/>
            </w:rPr>
          </w:pPr>
          <w:r>
            <w:rPr>
              <w:color w:val="auto"/>
              <w:sz w:val="28"/>
              <w:szCs w:val="28"/>
            </w:rPr>
            <w:fldChar w:fldCharType="begin"/>
          </w:r>
          <w:r>
            <w:rPr>
              <w:color w:val="auto"/>
              <w:sz w:val="28"/>
              <w:szCs w:val="28"/>
            </w:rPr>
            <w:instrText xml:space="preserve"> HYPERLINK \l _Toc27222 </w:instrText>
          </w:r>
          <w:r>
            <w:rPr>
              <w:color w:val="auto"/>
              <w:sz w:val="28"/>
              <w:szCs w:val="28"/>
            </w:rPr>
            <w:fldChar w:fldCharType="separate"/>
          </w:r>
          <w:r>
            <w:rPr>
              <w:rFonts w:hint="eastAsia" w:ascii="楷体" w:hAnsi="楷体" w:eastAsia="楷体" w:cs="楷体"/>
              <w:bCs/>
              <w:color w:val="auto"/>
              <w:sz w:val="28"/>
              <w:szCs w:val="48"/>
            </w:rPr>
            <w:t>（一）编制原则</w:t>
          </w:r>
          <w:r>
            <w:rPr>
              <w:color w:val="auto"/>
              <w:sz w:val="28"/>
              <w:szCs w:val="28"/>
            </w:rPr>
            <w:tab/>
          </w:r>
          <w:r>
            <w:rPr>
              <w:color w:val="auto"/>
              <w:sz w:val="28"/>
              <w:szCs w:val="28"/>
            </w:rPr>
            <w:fldChar w:fldCharType="begin"/>
          </w:r>
          <w:r>
            <w:rPr>
              <w:color w:val="auto"/>
              <w:sz w:val="28"/>
              <w:szCs w:val="28"/>
            </w:rPr>
            <w:instrText xml:space="preserve"> PAGEREF _Toc27222 \h </w:instrText>
          </w:r>
          <w:r>
            <w:rPr>
              <w:color w:val="auto"/>
              <w:sz w:val="28"/>
              <w:szCs w:val="28"/>
            </w:rPr>
            <w:fldChar w:fldCharType="separate"/>
          </w:r>
          <w:r>
            <w:rPr>
              <w:color w:val="auto"/>
              <w:sz w:val="28"/>
              <w:szCs w:val="28"/>
            </w:rPr>
            <w:t xml:space="preserve">- </w:t>
          </w:r>
          <w:r>
            <w:rPr>
              <w:rFonts w:hint="eastAsia"/>
              <w:color w:val="auto"/>
              <w:sz w:val="28"/>
              <w:szCs w:val="28"/>
              <w:lang w:val="en-US" w:eastAsia="zh-CN"/>
            </w:rPr>
            <w:t>7</w:t>
          </w:r>
          <w:r>
            <w:rPr>
              <w:color w:val="auto"/>
              <w:sz w:val="28"/>
              <w:szCs w:val="28"/>
            </w:rPr>
            <w:t xml:space="preserve"> -</w:t>
          </w:r>
          <w:r>
            <w:rPr>
              <w:color w:val="auto"/>
              <w:sz w:val="28"/>
              <w:szCs w:val="28"/>
            </w:rPr>
            <w:fldChar w:fldCharType="end"/>
          </w:r>
          <w:r>
            <w:rPr>
              <w:color w:val="auto"/>
              <w:sz w:val="28"/>
              <w:szCs w:val="28"/>
            </w:rPr>
            <w:fldChar w:fldCharType="end"/>
          </w:r>
        </w:p>
        <w:p w14:paraId="2EBAE192">
          <w:pPr>
            <w:pStyle w:val="17"/>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color w:val="auto"/>
              <w:sz w:val="28"/>
              <w:szCs w:val="28"/>
            </w:rPr>
          </w:pPr>
          <w:r>
            <w:rPr>
              <w:color w:val="auto"/>
              <w:sz w:val="28"/>
              <w:szCs w:val="28"/>
            </w:rPr>
            <w:fldChar w:fldCharType="begin"/>
          </w:r>
          <w:r>
            <w:rPr>
              <w:color w:val="auto"/>
              <w:sz w:val="28"/>
              <w:szCs w:val="28"/>
            </w:rPr>
            <w:instrText xml:space="preserve"> HYPERLINK \l _Toc7740 </w:instrText>
          </w:r>
          <w:r>
            <w:rPr>
              <w:color w:val="auto"/>
              <w:sz w:val="28"/>
              <w:szCs w:val="28"/>
            </w:rPr>
            <w:fldChar w:fldCharType="separate"/>
          </w:r>
          <w:r>
            <w:rPr>
              <w:rFonts w:hint="eastAsia" w:ascii="楷体" w:hAnsi="楷体" w:eastAsia="楷体" w:cs="楷体"/>
              <w:bCs/>
              <w:color w:val="auto"/>
              <w:sz w:val="28"/>
              <w:szCs w:val="48"/>
            </w:rPr>
            <w:t>（二）编制依据</w:t>
          </w:r>
          <w:r>
            <w:rPr>
              <w:color w:val="auto"/>
              <w:sz w:val="28"/>
              <w:szCs w:val="28"/>
            </w:rPr>
            <w:tab/>
          </w:r>
          <w:r>
            <w:rPr>
              <w:color w:val="auto"/>
              <w:sz w:val="28"/>
              <w:szCs w:val="28"/>
            </w:rPr>
            <w:fldChar w:fldCharType="begin"/>
          </w:r>
          <w:r>
            <w:rPr>
              <w:color w:val="auto"/>
              <w:sz w:val="28"/>
              <w:szCs w:val="28"/>
            </w:rPr>
            <w:instrText xml:space="preserve"> PAGEREF _Toc7740 \h </w:instrText>
          </w:r>
          <w:r>
            <w:rPr>
              <w:color w:val="auto"/>
              <w:sz w:val="28"/>
              <w:szCs w:val="28"/>
            </w:rPr>
            <w:fldChar w:fldCharType="separate"/>
          </w:r>
          <w:r>
            <w:rPr>
              <w:color w:val="auto"/>
              <w:sz w:val="28"/>
              <w:szCs w:val="28"/>
            </w:rPr>
            <w:t xml:space="preserve">- </w:t>
          </w:r>
          <w:r>
            <w:rPr>
              <w:rFonts w:hint="eastAsia"/>
              <w:color w:val="auto"/>
              <w:sz w:val="28"/>
              <w:szCs w:val="28"/>
              <w:lang w:val="en-US" w:eastAsia="zh-CN"/>
            </w:rPr>
            <w:t>7</w:t>
          </w:r>
          <w:r>
            <w:rPr>
              <w:color w:val="auto"/>
              <w:sz w:val="28"/>
              <w:szCs w:val="28"/>
            </w:rPr>
            <w:t xml:space="preserve"> -</w:t>
          </w:r>
          <w:r>
            <w:rPr>
              <w:color w:val="auto"/>
              <w:sz w:val="28"/>
              <w:szCs w:val="28"/>
            </w:rPr>
            <w:fldChar w:fldCharType="end"/>
          </w:r>
          <w:r>
            <w:rPr>
              <w:color w:val="auto"/>
              <w:sz w:val="28"/>
              <w:szCs w:val="28"/>
            </w:rPr>
            <w:fldChar w:fldCharType="end"/>
          </w:r>
        </w:p>
        <w:p w14:paraId="4460E881">
          <w:pPr>
            <w:pStyle w:val="17"/>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color w:val="auto"/>
              <w:sz w:val="28"/>
              <w:szCs w:val="28"/>
            </w:rPr>
          </w:pPr>
          <w:r>
            <w:rPr>
              <w:color w:val="auto"/>
              <w:sz w:val="28"/>
              <w:szCs w:val="28"/>
            </w:rPr>
            <w:fldChar w:fldCharType="begin"/>
          </w:r>
          <w:r>
            <w:rPr>
              <w:color w:val="auto"/>
              <w:sz w:val="28"/>
              <w:szCs w:val="28"/>
            </w:rPr>
            <w:instrText xml:space="preserve"> HYPERLINK \l _Toc13275 </w:instrText>
          </w:r>
          <w:r>
            <w:rPr>
              <w:color w:val="auto"/>
              <w:sz w:val="28"/>
              <w:szCs w:val="28"/>
            </w:rPr>
            <w:fldChar w:fldCharType="separate"/>
          </w:r>
          <w:r>
            <w:rPr>
              <w:rFonts w:hint="eastAsia" w:ascii="楷体" w:hAnsi="楷体" w:eastAsia="楷体" w:cs="楷体"/>
              <w:bCs/>
              <w:color w:val="auto"/>
              <w:sz w:val="28"/>
              <w:szCs w:val="48"/>
            </w:rPr>
            <w:t>（三）与现行法律法规、标准的关系</w:t>
          </w:r>
          <w:r>
            <w:rPr>
              <w:color w:val="auto"/>
              <w:sz w:val="28"/>
              <w:szCs w:val="28"/>
            </w:rPr>
            <w:tab/>
          </w:r>
          <w:r>
            <w:rPr>
              <w:color w:val="auto"/>
              <w:sz w:val="28"/>
              <w:szCs w:val="28"/>
            </w:rPr>
            <w:fldChar w:fldCharType="begin"/>
          </w:r>
          <w:r>
            <w:rPr>
              <w:color w:val="auto"/>
              <w:sz w:val="28"/>
              <w:szCs w:val="28"/>
            </w:rPr>
            <w:instrText xml:space="preserve"> PAGEREF _Toc13275 \h </w:instrText>
          </w:r>
          <w:r>
            <w:rPr>
              <w:color w:val="auto"/>
              <w:sz w:val="28"/>
              <w:szCs w:val="28"/>
            </w:rPr>
            <w:fldChar w:fldCharType="separate"/>
          </w:r>
          <w:r>
            <w:rPr>
              <w:color w:val="auto"/>
              <w:sz w:val="28"/>
              <w:szCs w:val="28"/>
            </w:rPr>
            <w:t xml:space="preserve">- </w:t>
          </w:r>
          <w:r>
            <w:rPr>
              <w:rFonts w:hint="eastAsia"/>
              <w:color w:val="auto"/>
              <w:sz w:val="28"/>
              <w:szCs w:val="28"/>
              <w:lang w:val="en-US" w:eastAsia="zh-CN"/>
            </w:rPr>
            <w:t>8</w:t>
          </w:r>
          <w:r>
            <w:rPr>
              <w:color w:val="auto"/>
              <w:sz w:val="28"/>
              <w:szCs w:val="28"/>
            </w:rPr>
            <w:t xml:space="preserve"> -</w:t>
          </w:r>
          <w:r>
            <w:rPr>
              <w:color w:val="auto"/>
              <w:sz w:val="28"/>
              <w:szCs w:val="28"/>
            </w:rPr>
            <w:fldChar w:fldCharType="end"/>
          </w:r>
          <w:r>
            <w:rPr>
              <w:color w:val="auto"/>
              <w:sz w:val="28"/>
              <w:szCs w:val="28"/>
            </w:rPr>
            <w:fldChar w:fldCharType="end"/>
          </w:r>
        </w:p>
        <w:p w14:paraId="67F6BDF1">
          <w:pPr>
            <w:pStyle w:val="16"/>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b/>
              <w:color w:val="auto"/>
              <w:sz w:val="28"/>
              <w:szCs w:val="28"/>
            </w:rPr>
          </w:pPr>
          <w:r>
            <w:rPr>
              <w:b/>
              <w:color w:val="auto"/>
              <w:sz w:val="28"/>
              <w:szCs w:val="28"/>
            </w:rPr>
            <w:fldChar w:fldCharType="begin"/>
          </w:r>
          <w:r>
            <w:rPr>
              <w:b/>
              <w:color w:val="auto"/>
              <w:sz w:val="28"/>
              <w:szCs w:val="28"/>
            </w:rPr>
            <w:instrText xml:space="preserve"> HYPERLINK \l _Toc11321 </w:instrText>
          </w:r>
          <w:r>
            <w:rPr>
              <w:b/>
              <w:color w:val="auto"/>
              <w:sz w:val="28"/>
              <w:szCs w:val="28"/>
            </w:rPr>
            <w:fldChar w:fldCharType="separate"/>
          </w:r>
          <w:r>
            <w:rPr>
              <w:rFonts w:hint="eastAsia" w:ascii="黑体" w:hAnsi="黑体" w:eastAsia="黑体" w:cs="黑体"/>
              <w:b/>
              <w:color w:val="auto"/>
              <w:sz w:val="28"/>
              <w:szCs w:val="48"/>
            </w:rPr>
            <w:t>五、</w:t>
          </w:r>
          <w:r>
            <w:rPr>
              <w:rFonts w:ascii="黑体" w:hAnsi="黑体" w:eastAsia="黑体" w:cs="黑体"/>
              <w:b/>
              <w:color w:val="auto"/>
              <w:sz w:val="28"/>
              <w:szCs w:val="48"/>
            </w:rPr>
            <w:t>主要条款的说明</w:t>
          </w:r>
          <w:r>
            <w:rPr>
              <w:rFonts w:hint="eastAsia" w:ascii="黑体" w:hAnsi="黑体" w:eastAsia="黑体" w:cs="黑体"/>
              <w:b/>
              <w:color w:val="auto"/>
              <w:sz w:val="28"/>
              <w:szCs w:val="48"/>
            </w:rPr>
            <w:t>，主要</w:t>
          </w:r>
          <w:r>
            <w:rPr>
              <w:rFonts w:ascii="黑体" w:hAnsi="黑体" w:eastAsia="黑体" w:cs="黑体"/>
              <w:b/>
              <w:color w:val="auto"/>
              <w:sz w:val="28"/>
              <w:szCs w:val="48"/>
            </w:rPr>
            <w:t>技术指标、参数、实验验证的</w:t>
          </w:r>
          <w:r>
            <w:rPr>
              <w:rFonts w:hint="eastAsia" w:ascii="黑体" w:hAnsi="黑体" w:eastAsia="黑体" w:cs="黑体"/>
              <w:b/>
              <w:color w:val="auto"/>
              <w:sz w:val="28"/>
              <w:szCs w:val="48"/>
            </w:rPr>
            <w:t>论述</w:t>
          </w:r>
          <w:r>
            <w:rPr>
              <w:b/>
              <w:color w:val="auto"/>
              <w:sz w:val="28"/>
              <w:szCs w:val="28"/>
            </w:rPr>
            <w:tab/>
          </w:r>
          <w:r>
            <w:rPr>
              <w:b/>
              <w:color w:val="auto"/>
              <w:sz w:val="28"/>
              <w:szCs w:val="28"/>
            </w:rPr>
            <w:fldChar w:fldCharType="begin"/>
          </w:r>
          <w:r>
            <w:rPr>
              <w:b/>
              <w:color w:val="auto"/>
              <w:sz w:val="28"/>
              <w:szCs w:val="28"/>
            </w:rPr>
            <w:instrText xml:space="preserve"> PAGEREF _Toc11321 \h </w:instrText>
          </w:r>
          <w:r>
            <w:rPr>
              <w:b/>
              <w:color w:val="auto"/>
              <w:sz w:val="28"/>
              <w:szCs w:val="28"/>
            </w:rPr>
            <w:fldChar w:fldCharType="separate"/>
          </w:r>
          <w:r>
            <w:rPr>
              <w:b/>
              <w:color w:val="auto"/>
              <w:sz w:val="28"/>
              <w:szCs w:val="28"/>
            </w:rPr>
            <w:t xml:space="preserve">- </w:t>
          </w:r>
          <w:r>
            <w:rPr>
              <w:rFonts w:hint="eastAsia"/>
              <w:b/>
              <w:color w:val="auto"/>
              <w:sz w:val="28"/>
              <w:szCs w:val="28"/>
              <w:lang w:val="en-US" w:eastAsia="zh-CN"/>
            </w:rPr>
            <w:t>8</w:t>
          </w:r>
          <w:r>
            <w:rPr>
              <w:b/>
              <w:color w:val="auto"/>
              <w:sz w:val="28"/>
              <w:szCs w:val="28"/>
            </w:rPr>
            <w:t xml:space="preserve"> -</w:t>
          </w:r>
          <w:r>
            <w:rPr>
              <w:b/>
              <w:color w:val="auto"/>
              <w:sz w:val="28"/>
              <w:szCs w:val="28"/>
            </w:rPr>
            <w:fldChar w:fldCharType="end"/>
          </w:r>
          <w:r>
            <w:rPr>
              <w:b/>
              <w:color w:val="auto"/>
              <w:sz w:val="28"/>
              <w:szCs w:val="28"/>
            </w:rPr>
            <w:fldChar w:fldCharType="end"/>
          </w:r>
        </w:p>
        <w:p w14:paraId="61D568EB">
          <w:pPr>
            <w:pStyle w:val="17"/>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color w:val="auto"/>
              <w:sz w:val="28"/>
              <w:szCs w:val="28"/>
            </w:rPr>
          </w:pPr>
          <w:r>
            <w:rPr>
              <w:color w:val="auto"/>
              <w:sz w:val="28"/>
              <w:szCs w:val="28"/>
            </w:rPr>
            <w:fldChar w:fldCharType="begin"/>
          </w:r>
          <w:r>
            <w:rPr>
              <w:color w:val="auto"/>
              <w:sz w:val="28"/>
              <w:szCs w:val="28"/>
            </w:rPr>
            <w:instrText xml:space="preserve"> HYPERLINK \l _Toc28636 </w:instrText>
          </w:r>
          <w:r>
            <w:rPr>
              <w:color w:val="auto"/>
              <w:sz w:val="28"/>
              <w:szCs w:val="28"/>
            </w:rPr>
            <w:fldChar w:fldCharType="separate"/>
          </w:r>
          <w:r>
            <w:rPr>
              <w:rFonts w:hint="eastAsia" w:ascii="楷体" w:hAnsi="楷体" w:eastAsia="楷体" w:cs="楷体"/>
              <w:bCs/>
              <w:color w:val="auto"/>
              <w:sz w:val="28"/>
              <w:szCs w:val="48"/>
            </w:rPr>
            <w:t>（一）主要条款说明</w:t>
          </w:r>
          <w:r>
            <w:rPr>
              <w:color w:val="auto"/>
              <w:sz w:val="28"/>
              <w:szCs w:val="28"/>
            </w:rPr>
            <w:tab/>
          </w:r>
          <w:r>
            <w:rPr>
              <w:color w:val="auto"/>
              <w:sz w:val="28"/>
              <w:szCs w:val="28"/>
            </w:rPr>
            <w:fldChar w:fldCharType="begin"/>
          </w:r>
          <w:r>
            <w:rPr>
              <w:color w:val="auto"/>
              <w:sz w:val="28"/>
              <w:szCs w:val="28"/>
            </w:rPr>
            <w:instrText xml:space="preserve"> PAGEREF _Toc28636 \h </w:instrText>
          </w:r>
          <w:r>
            <w:rPr>
              <w:color w:val="auto"/>
              <w:sz w:val="28"/>
              <w:szCs w:val="28"/>
            </w:rPr>
            <w:fldChar w:fldCharType="separate"/>
          </w:r>
          <w:r>
            <w:rPr>
              <w:color w:val="auto"/>
              <w:sz w:val="28"/>
              <w:szCs w:val="28"/>
            </w:rPr>
            <w:t xml:space="preserve">- </w:t>
          </w:r>
          <w:r>
            <w:rPr>
              <w:rFonts w:hint="eastAsia"/>
              <w:color w:val="auto"/>
              <w:sz w:val="28"/>
              <w:szCs w:val="28"/>
              <w:lang w:val="en-US" w:eastAsia="zh-CN"/>
            </w:rPr>
            <w:t>8</w:t>
          </w:r>
          <w:r>
            <w:rPr>
              <w:color w:val="auto"/>
              <w:sz w:val="28"/>
              <w:szCs w:val="28"/>
            </w:rPr>
            <w:t xml:space="preserve"> -</w:t>
          </w:r>
          <w:r>
            <w:rPr>
              <w:color w:val="auto"/>
              <w:sz w:val="28"/>
              <w:szCs w:val="28"/>
            </w:rPr>
            <w:fldChar w:fldCharType="end"/>
          </w:r>
          <w:r>
            <w:rPr>
              <w:color w:val="auto"/>
              <w:sz w:val="28"/>
              <w:szCs w:val="28"/>
            </w:rPr>
            <w:fldChar w:fldCharType="end"/>
          </w:r>
        </w:p>
        <w:p w14:paraId="1ADAB8EC">
          <w:pPr>
            <w:pStyle w:val="17"/>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color w:val="auto"/>
              <w:sz w:val="28"/>
              <w:szCs w:val="28"/>
            </w:rPr>
          </w:pPr>
          <w:r>
            <w:rPr>
              <w:color w:val="auto"/>
              <w:sz w:val="28"/>
              <w:szCs w:val="28"/>
            </w:rPr>
            <w:fldChar w:fldCharType="begin"/>
          </w:r>
          <w:r>
            <w:rPr>
              <w:color w:val="auto"/>
              <w:sz w:val="28"/>
              <w:szCs w:val="28"/>
            </w:rPr>
            <w:instrText xml:space="preserve"> HYPERLINK \l _Toc21866 </w:instrText>
          </w:r>
          <w:r>
            <w:rPr>
              <w:color w:val="auto"/>
              <w:sz w:val="28"/>
              <w:szCs w:val="28"/>
            </w:rPr>
            <w:fldChar w:fldCharType="separate"/>
          </w:r>
          <w:r>
            <w:rPr>
              <w:rFonts w:hint="eastAsia" w:ascii="楷体" w:hAnsi="楷体" w:eastAsia="楷体" w:cs="楷体"/>
              <w:bCs/>
              <w:color w:val="auto"/>
              <w:sz w:val="28"/>
              <w:szCs w:val="48"/>
            </w:rPr>
            <w:t>（二）主要技术指标、参数、试验验证的论述</w:t>
          </w:r>
          <w:r>
            <w:rPr>
              <w:color w:val="auto"/>
              <w:sz w:val="28"/>
              <w:szCs w:val="28"/>
            </w:rPr>
            <w:tab/>
          </w:r>
          <w:r>
            <w:rPr>
              <w:color w:val="auto"/>
              <w:sz w:val="28"/>
              <w:szCs w:val="28"/>
            </w:rPr>
            <w:fldChar w:fldCharType="begin"/>
          </w:r>
          <w:r>
            <w:rPr>
              <w:color w:val="auto"/>
              <w:sz w:val="28"/>
              <w:szCs w:val="28"/>
            </w:rPr>
            <w:instrText xml:space="preserve"> PAGEREF _Toc21866 \h </w:instrText>
          </w:r>
          <w:r>
            <w:rPr>
              <w:color w:val="auto"/>
              <w:sz w:val="28"/>
              <w:szCs w:val="28"/>
            </w:rPr>
            <w:fldChar w:fldCharType="separate"/>
          </w:r>
          <w:r>
            <w:rPr>
              <w:color w:val="auto"/>
              <w:sz w:val="28"/>
              <w:szCs w:val="28"/>
            </w:rPr>
            <w:t xml:space="preserve">- </w:t>
          </w:r>
          <w:r>
            <w:rPr>
              <w:rFonts w:hint="eastAsia"/>
              <w:color w:val="auto"/>
              <w:sz w:val="28"/>
              <w:szCs w:val="28"/>
              <w:lang w:val="en-US" w:eastAsia="zh-CN"/>
            </w:rPr>
            <w:t>9</w:t>
          </w:r>
          <w:r>
            <w:rPr>
              <w:color w:val="auto"/>
              <w:sz w:val="28"/>
              <w:szCs w:val="28"/>
            </w:rPr>
            <w:t xml:space="preserve"> -</w:t>
          </w:r>
          <w:r>
            <w:rPr>
              <w:color w:val="auto"/>
              <w:sz w:val="28"/>
              <w:szCs w:val="28"/>
            </w:rPr>
            <w:fldChar w:fldCharType="end"/>
          </w:r>
          <w:r>
            <w:rPr>
              <w:color w:val="auto"/>
              <w:sz w:val="28"/>
              <w:szCs w:val="28"/>
            </w:rPr>
            <w:fldChar w:fldCharType="end"/>
          </w:r>
        </w:p>
        <w:p w14:paraId="7FDD44C7">
          <w:pPr>
            <w:pStyle w:val="16"/>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b/>
              <w:color w:val="auto"/>
              <w:sz w:val="28"/>
              <w:szCs w:val="28"/>
            </w:rPr>
          </w:pPr>
          <w:r>
            <w:rPr>
              <w:b/>
              <w:color w:val="auto"/>
              <w:sz w:val="28"/>
              <w:szCs w:val="28"/>
            </w:rPr>
            <w:fldChar w:fldCharType="begin"/>
          </w:r>
          <w:r>
            <w:rPr>
              <w:b/>
              <w:color w:val="auto"/>
              <w:sz w:val="28"/>
              <w:szCs w:val="28"/>
            </w:rPr>
            <w:instrText xml:space="preserve"> HYPERLINK \l _Toc12110 </w:instrText>
          </w:r>
          <w:r>
            <w:rPr>
              <w:b/>
              <w:color w:val="auto"/>
              <w:sz w:val="28"/>
              <w:szCs w:val="28"/>
            </w:rPr>
            <w:fldChar w:fldCharType="separate"/>
          </w:r>
          <w:r>
            <w:rPr>
              <w:rFonts w:hint="eastAsia" w:ascii="黑体" w:hAnsi="黑体" w:eastAsia="黑体" w:cs="黑体"/>
              <w:b/>
              <w:color w:val="auto"/>
              <w:sz w:val="28"/>
              <w:szCs w:val="48"/>
            </w:rPr>
            <w:t>六、重大意见分歧的处理依据</w:t>
          </w:r>
          <w:r>
            <w:rPr>
              <w:rFonts w:ascii="黑体" w:hAnsi="黑体" w:eastAsia="黑体" w:cs="黑体"/>
              <w:b/>
              <w:color w:val="auto"/>
              <w:sz w:val="28"/>
              <w:szCs w:val="48"/>
            </w:rPr>
            <w:t>和结果</w:t>
          </w:r>
          <w:r>
            <w:rPr>
              <w:b/>
              <w:color w:val="auto"/>
              <w:sz w:val="28"/>
              <w:szCs w:val="28"/>
            </w:rPr>
            <w:tab/>
          </w:r>
          <w:r>
            <w:rPr>
              <w:b/>
              <w:color w:val="auto"/>
              <w:sz w:val="28"/>
              <w:szCs w:val="28"/>
            </w:rPr>
            <w:fldChar w:fldCharType="begin"/>
          </w:r>
          <w:r>
            <w:rPr>
              <w:b/>
              <w:color w:val="auto"/>
              <w:sz w:val="28"/>
              <w:szCs w:val="28"/>
            </w:rPr>
            <w:instrText xml:space="preserve"> PAGEREF _Toc12110 \h </w:instrText>
          </w:r>
          <w:r>
            <w:rPr>
              <w:b/>
              <w:color w:val="auto"/>
              <w:sz w:val="28"/>
              <w:szCs w:val="28"/>
            </w:rPr>
            <w:fldChar w:fldCharType="separate"/>
          </w:r>
          <w:r>
            <w:rPr>
              <w:b/>
              <w:color w:val="auto"/>
              <w:sz w:val="28"/>
              <w:szCs w:val="28"/>
            </w:rPr>
            <w:t>- 1</w:t>
          </w:r>
          <w:r>
            <w:rPr>
              <w:rFonts w:hint="eastAsia"/>
              <w:b/>
              <w:color w:val="auto"/>
              <w:sz w:val="28"/>
              <w:szCs w:val="28"/>
              <w:lang w:val="en-US" w:eastAsia="zh-CN"/>
            </w:rPr>
            <w:t>2</w:t>
          </w:r>
          <w:r>
            <w:rPr>
              <w:b/>
              <w:color w:val="auto"/>
              <w:sz w:val="28"/>
              <w:szCs w:val="28"/>
            </w:rPr>
            <w:t xml:space="preserve"> -</w:t>
          </w:r>
          <w:r>
            <w:rPr>
              <w:b/>
              <w:color w:val="auto"/>
              <w:sz w:val="28"/>
              <w:szCs w:val="28"/>
            </w:rPr>
            <w:fldChar w:fldCharType="end"/>
          </w:r>
          <w:r>
            <w:rPr>
              <w:b/>
              <w:color w:val="auto"/>
              <w:sz w:val="28"/>
              <w:szCs w:val="28"/>
            </w:rPr>
            <w:fldChar w:fldCharType="end"/>
          </w:r>
        </w:p>
        <w:p w14:paraId="337AD612">
          <w:pPr>
            <w:pStyle w:val="16"/>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b/>
              <w:color w:val="auto"/>
              <w:sz w:val="28"/>
              <w:szCs w:val="28"/>
            </w:rPr>
          </w:pPr>
          <w:r>
            <w:rPr>
              <w:b/>
              <w:color w:val="auto"/>
              <w:sz w:val="28"/>
              <w:szCs w:val="28"/>
            </w:rPr>
            <w:fldChar w:fldCharType="begin"/>
          </w:r>
          <w:r>
            <w:rPr>
              <w:b/>
              <w:color w:val="auto"/>
              <w:sz w:val="28"/>
              <w:szCs w:val="28"/>
            </w:rPr>
            <w:instrText xml:space="preserve"> HYPERLINK \l _Toc28202 </w:instrText>
          </w:r>
          <w:r>
            <w:rPr>
              <w:b/>
              <w:color w:val="auto"/>
              <w:sz w:val="28"/>
              <w:szCs w:val="28"/>
            </w:rPr>
            <w:fldChar w:fldCharType="separate"/>
          </w:r>
          <w:r>
            <w:rPr>
              <w:rFonts w:hint="eastAsia" w:ascii="黑体" w:hAnsi="黑体" w:eastAsia="黑体" w:cs="黑体"/>
              <w:b/>
              <w:color w:val="auto"/>
              <w:sz w:val="28"/>
              <w:szCs w:val="48"/>
            </w:rPr>
            <w:t>七、实施</w:t>
          </w:r>
          <w:r>
            <w:rPr>
              <w:rFonts w:ascii="黑体" w:hAnsi="黑体" w:eastAsia="黑体" w:cs="黑体"/>
              <w:b/>
              <w:color w:val="auto"/>
              <w:sz w:val="28"/>
              <w:szCs w:val="48"/>
            </w:rPr>
            <w:t>标准的措施及建议</w:t>
          </w:r>
          <w:r>
            <w:rPr>
              <w:b/>
              <w:color w:val="auto"/>
              <w:sz w:val="28"/>
              <w:szCs w:val="28"/>
            </w:rPr>
            <w:tab/>
          </w:r>
          <w:r>
            <w:rPr>
              <w:b/>
              <w:color w:val="auto"/>
              <w:sz w:val="28"/>
              <w:szCs w:val="28"/>
            </w:rPr>
            <w:fldChar w:fldCharType="begin"/>
          </w:r>
          <w:r>
            <w:rPr>
              <w:b/>
              <w:color w:val="auto"/>
              <w:sz w:val="28"/>
              <w:szCs w:val="28"/>
            </w:rPr>
            <w:instrText xml:space="preserve"> PAGEREF _Toc28202 \h </w:instrText>
          </w:r>
          <w:r>
            <w:rPr>
              <w:b/>
              <w:color w:val="auto"/>
              <w:sz w:val="28"/>
              <w:szCs w:val="28"/>
            </w:rPr>
            <w:fldChar w:fldCharType="separate"/>
          </w:r>
          <w:r>
            <w:rPr>
              <w:b/>
              <w:color w:val="auto"/>
              <w:sz w:val="28"/>
              <w:szCs w:val="28"/>
            </w:rPr>
            <w:t>- 1</w:t>
          </w:r>
          <w:r>
            <w:rPr>
              <w:rFonts w:hint="eastAsia"/>
              <w:b/>
              <w:color w:val="auto"/>
              <w:sz w:val="28"/>
              <w:szCs w:val="28"/>
              <w:lang w:val="en-US" w:eastAsia="zh-CN"/>
            </w:rPr>
            <w:t>2</w:t>
          </w:r>
          <w:r>
            <w:rPr>
              <w:b/>
              <w:color w:val="auto"/>
              <w:sz w:val="28"/>
              <w:szCs w:val="28"/>
            </w:rPr>
            <w:t xml:space="preserve"> -</w:t>
          </w:r>
          <w:r>
            <w:rPr>
              <w:b/>
              <w:color w:val="auto"/>
              <w:sz w:val="28"/>
              <w:szCs w:val="28"/>
            </w:rPr>
            <w:fldChar w:fldCharType="end"/>
          </w:r>
          <w:r>
            <w:rPr>
              <w:b/>
              <w:color w:val="auto"/>
              <w:sz w:val="28"/>
              <w:szCs w:val="28"/>
            </w:rPr>
            <w:fldChar w:fldCharType="end"/>
          </w:r>
        </w:p>
        <w:p w14:paraId="2FE047E8">
          <w:pPr>
            <w:pStyle w:val="16"/>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b/>
              <w:color w:val="auto"/>
              <w:sz w:val="28"/>
              <w:szCs w:val="28"/>
            </w:rPr>
          </w:pPr>
          <w:r>
            <w:rPr>
              <w:b/>
              <w:color w:val="auto"/>
              <w:sz w:val="28"/>
              <w:szCs w:val="28"/>
            </w:rPr>
            <w:fldChar w:fldCharType="begin"/>
          </w:r>
          <w:r>
            <w:rPr>
              <w:b/>
              <w:color w:val="auto"/>
              <w:sz w:val="28"/>
              <w:szCs w:val="28"/>
            </w:rPr>
            <w:instrText xml:space="preserve"> HYPERLINK \l _Toc18285 </w:instrText>
          </w:r>
          <w:r>
            <w:rPr>
              <w:b/>
              <w:color w:val="auto"/>
              <w:sz w:val="28"/>
              <w:szCs w:val="28"/>
            </w:rPr>
            <w:fldChar w:fldCharType="separate"/>
          </w:r>
          <w:r>
            <w:rPr>
              <w:rFonts w:hint="eastAsia" w:ascii="黑体" w:hAnsi="黑体" w:eastAsia="黑体" w:cs="黑体"/>
              <w:b/>
              <w:color w:val="auto"/>
              <w:sz w:val="28"/>
              <w:szCs w:val="48"/>
            </w:rPr>
            <w:t>八、知识产权说明</w:t>
          </w:r>
          <w:r>
            <w:rPr>
              <w:b/>
              <w:color w:val="auto"/>
              <w:sz w:val="28"/>
              <w:szCs w:val="28"/>
            </w:rPr>
            <w:tab/>
          </w:r>
          <w:r>
            <w:rPr>
              <w:b/>
              <w:color w:val="auto"/>
              <w:sz w:val="28"/>
              <w:szCs w:val="28"/>
            </w:rPr>
            <w:fldChar w:fldCharType="begin"/>
          </w:r>
          <w:r>
            <w:rPr>
              <w:b/>
              <w:color w:val="auto"/>
              <w:sz w:val="28"/>
              <w:szCs w:val="28"/>
            </w:rPr>
            <w:instrText xml:space="preserve"> PAGEREF _Toc18285 \h </w:instrText>
          </w:r>
          <w:r>
            <w:rPr>
              <w:b/>
              <w:color w:val="auto"/>
              <w:sz w:val="28"/>
              <w:szCs w:val="28"/>
            </w:rPr>
            <w:fldChar w:fldCharType="separate"/>
          </w:r>
          <w:r>
            <w:rPr>
              <w:b/>
              <w:color w:val="auto"/>
              <w:sz w:val="28"/>
              <w:szCs w:val="28"/>
            </w:rPr>
            <w:t>- 1</w:t>
          </w:r>
          <w:r>
            <w:rPr>
              <w:rFonts w:hint="eastAsia"/>
              <w:b/>
              <w:color w:val="auto"/>
              <w:sz w:val="28"/>
              <w:szCs w:val="28"/>
              <w:lang w:val="en-US" w:eastAsia="zh-CN"/>
            </w:rPr>
            <w:t>3</w:t>
          </w:r>
          <w:r>
            <w:rPr>
              <w:b/>
              <w:color w:val="auto"/>
              <w:sz w:val="28"/>
              <w:szCs w:val="28"/>
            </w:rPr>
            <w:t xml:space="preserve"> -</w:t>
          </w:r>
          <w:r>
            <w:rPr>
              <w:b/>
              <w:color w:val="auto"/>
              <w:sz w:val="28"/>
              <w:szCs w:val="28"/>
            </w:rPr>
            <w:fldChar w:fldCharType="end"/>
          </w:r>
          <w:r>
            <w:rPr>
              <w:b/>
              <w:color w:val="auto"/>
              <w:sz w:val="28"/>
              <w:szCs w:val="28"/>
            </w:rPr>
            <w:fldChar w:fldCharType="end"/>
          </w:r>
        </w:p>
        <w:p w14:paraId="5126F176">
          <w:pPr>
            <w:pStyle w:val="16"/>
            <w:keepNext w:val="0"/>
            <w:keepLines w:val="0"/>
            <w:pageBreakBefore w:val="0"/>
            <w:widowControl/>
            <w:tabs>
              <w:tab w:val="right" w:leader="dot" w:pos="9025"/>
            </w:tabs>
            <w:kinsoku/>
            <w:wordWrap/>
            <w:overflowPunct/>
            <w:topLinePunct w:val="0"/>
            <w:autoSpaceDE/>
            <w:autoSpaceDN/>
            <w:bidi w:val="0"/>
            <w:adjustRightInd/>
            <w:snapToGrid/>
            <w:spacing w:line="540" w:lineRule="exact"/>
            <w:textAlignment w:val="auto"/>
            <w:rPr>
              <w:b/>
              <w:color w:val="auto"/>
              <w:sz w:val="28"/>
              <w:szCs w:val="28"/>
            </w:rPr>
          </w:pPr>
          <w:r>
            <w:rPr>
              <w:b/>
              <w:color w:val="auto"/>
              <w:sz w:val="28"/>
              <w:szCs w:val="28"/>
            </w:rPr>
            <w:fldChar w:fldCharType="begin"/>
          </w:r>
          <w:r>
            <w:rPr>
              <w:b/>
              <w:color w:val="auto"/>
              <w:sz w:val="28"/>
              <w:szCs w:val="28"/>
            </w:rPr>
            <w:instrText xml:space="preserve"> HYPERLINK \l _Toc18382 </w:instrText>
          </w:r>
          <w:r>
            <w:rPr>
              <w:b/>
              <w:color w:val="auto"/>
              <w:sz w:val="28"/>
              <w:szCs w:val="28"/>
            </w:rPr>
            <w:fldChar w:fldCharType="separate"/>
          </w:r>
          <w:r>
            <w:rPr>
              <w:rFonts w:hint="eastAsia" w:ascii="黑体" w:hAnsi="黑体" w:eastAsia="黑体" w:cs="黑体"/>
              <w:b/>
              <w:color w:val="auto"/>
              <w:sz w:val="28"/>
              <w:szCs w:val="48"/>
            </w:rPr>
            <w:t>九、其他应说明的事项</w:t>
          </w:r>
          <w:r>
            <w:rPr>
              <w:b/>
              <w:color w:val="auto"/>
              <w:sz w:val="28"/>
              <w:szCs w:val="28"/>
            </w:rPr>
            <w:tab/>
          </w:r>
          <w:r>
            <w:rPr>
              <w:b/>
              <w:color w:val="auto"/>
              <w:sz w:val="28"/>
              <w:szCs w:val="28"/>
            </w:rPr>
            <w:fldChar w:fldCharType="begin"/>
          </w:r>
          <w:r>
            <w:rPr>
              <w:b/>
              <w:color w:val="auto"/>
              <w:sz w:val="28"/>
              <w:szCs w:val="28"/>
            </w:rPr>
            <w:instrText xml:space="preserve"> PAGEREF _Toc18382 \h </w:instrText>
          </w:r>
          <w:r>
            <w:rPr>
              <w:b/>
              <w:color w:val="auto"/>
              <w:sz w:val="28"/>
              <w:szCs w:val="28"/>
            </w:rPr>
            <w:fldChar w:fldCharType="separate"/>
          </w:r>
          <w:r>
            <w:rPr>
              <w:b/>
              <w:color w:val="auto"/>
              <w:sz w:val="28"/>
              <w:szCs w:val="28"/>
            </w:rPr>
            <w:t>- 1</w:t>
          </w:r>
          <w:r>
            <w:rPr>
              <w:rFonts w:hint="eastAsia"/>
              <w:b/>
              <w:color w:val="auto"/>
              <w:sz w:val="28"/>
              <w:szCs w:val="28"/>
              <w:lang w:val="en-US" w:eastAsia="zh-CN"/>
            </w:rPr>
            <w:t>3</w:t>
          </w:r>
          <w:r>
            <w:rPr>
              <w:b/>
              <w:color w:val="auto"/>
              <w:sz w:val="28"/>
              <w:szCs w:val="28"/>
            </w:rPr>
            <w:t xml:space="preserve"> -</w:t>
          </w:r>
          <w:r>
            <w:rPr>
              <w:b/>
              <w:color w:val="auto"/>
              <w:sz w:val="28"/>
              <w:szCs w:val="28"/>
            </w:rPr>
            <w:fldChar w:fldCharType="end"/>
          </w:r>
          <w:r>
            <w:rPr>
              <w:b/>
              <w:color w:val="auto"/>
              <w:sz w:val="28"/>
              <w:szCs w:val="28"/>
            </w:rPr>
            <w:fldChar w:fldCharType="end"/>
          </w:r>
        </w:p>
        <w:p w14:paraId="5219DD63">
          <w:pPr>
            <w:keepNext w:val="0"/>
            <w:keepLines w:val="0"/>
            <w:pageBreakBefore w:val="0"/>
            <w:widowControl/>
            <w:kinsoku/>
            <w:wordWrap/>
            <w:overflowPunct/>
            <w:topLinePunct w:val="0"/>
            <w:autoSpaceDE/>
            <w:autoSpaceDN/>
            <w:bidi w:val="0"/>
            <w:adjustRightInd/>
            <w:snapToGrid/>
            <w:spacing w:line="540" w:lineRule="exact"/>
            <w:textAlignment w:val="auto"/>
            <w:rPr>
              <w:b/>
              <w:color w:val="auto"/>
              <w:sz w:val="28"/>
              <w:szCs w:val="28"/>
            </w:rPr>
            <w:sectPr>
              <w:footerReference r:id="rId3" w:type="default"/>
              <w:pgSz w:w="11905" w:h="16838" w:orient="landscape"/>
              <w:pgMar w:top="1803" w:right="1440" w:bottom="1803" w:left="1440" w:header="851" w:footer="992" w:gutter="0"/>
              <w:pgNumType w:fmt="numberInDash" w:start="1"/>
              <w:cols w:space="0" w:num="1"/>
              <w:docGrid w:type="lines" w:linePitch="315" w:charSpace="0"/>
            </w:sectPr>
          </w:pPr>
        </w:p>
        <w:p w14:paraId="35DBF4AC">
          <w:pPr>
            <w:keepNext w:val="0"/>
            <w:keepLines w:val="0"/>
            <w:pageBreakBefore w:val="0"/>
            <w:widowControl/>
            <w:kinsoku/>
            <w:wordWrap/>
            <w:overflowPunct/>
            <w:topLinePunct w:val="0"/>
            <w:autoSpaceDE/>
            <w:autoSpaceDN/>
            <w:bidi w:val="0"/>
            <w:adjustRightInd/>
            <w:snapToGrid/>
            <w:spacing w:line="540" w:lineRule="exact"/>
            <w:textAlignment w:val="auto"/>
            <w:rPr>
              <w:color w:val="auto"/>
            </w:rPr>
          </w:pPr>
          <w:r>
            <w:rPr>
              <w:b/>
              <w:color w:val="auto"/>
              <w:sz w:val="28"/>
              <w:szCs w:val="28"/>
            </w:rPr>
            <w:fldChar w:fldCharType="end"/>
          </w:r>
          <w:bookmarkStart w:id="0" w:name="_Toc24989"/>
        </w:p>
      </w:sdtContent>
    </w:sdt>
    <w:p w14:paraId="4256632C">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《牛羊布鲁氏菌病免疫操作技术规范》地方标准</w:t>
      </w:r>
      <w:bookmarkEnd w:id="0"/>
    </w:p>
    <w:p w14:paraId="1BD4DC40">
      <w:pPr>
        <w:pStyle w:val="8"/>
        <w:keepNext w:val="0"/>
        <w:keepLines w:val="0"/>
        <w:pageBreakBefore w:val="0"/>
        <w:kinsoku/>
        <w:wordWrap/>
        <w:overflowPunct/>
        <w:topLinePunct w:val="0"/>
        <w:autoSpaceDE/>
        <w:autoSpaceDN/>
        <w:bidi w:val="0"/>
        <w:adjustRightInd/>
        <w:snapToGrid/>
        <w:spacing w:line="600" w:lineRule="exact"/>
        <w:textAlignment w:val="auto"/>
        <w:rPr>
          <w:rFonts w:hint="eastAsia" w:ascii="方正小标宋_GBK" w:hAnsi="方正小标宋_GBK" w:eastAsia="方正小标宋_GBK" w:cs="方正小标宋_GBK"/>
          <w:color w:val="auto"/>
          <w:sz w:val="44"/>
          <w:szCs w:val="44"/>
        </w:rPr>
      </w:pPr>
      <w:bookmarkStart w:id="1" w:name="_Toc2926"/>
      <w:r>
        <w:rPr>
          <w:rFonts w:hint="eastAsia" w:ascii="方正小标宋_GBK" w:hAnsi="方正小标宋_GBK" w:eastAsia="方正小标宋_GBK" w:cs="方正小标宋_GBK"/>
          <w:b w:val="0"/>
          <w:bCs w:val="0"/>
          <w:color w:val="auto"/>
          <w:sz w:val="44"/>
          <w:szCs w:val="44"/>
        </w:rPr>
        <w:t>编制说明</w:t>
      </w:r>
      <w:bookmarkEnd w:id="1"/>
    </w:p>
    <w:p w14:paraId="1ED05352">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eastAsia" w:ascii="国标黑体" w:hAnsi="国标黑体" w:eastAsia="国标黑体" w:cs="国标黑体"/>
          <w:color w:val="auto"/>
          <w:sz w:val="32"/>
          <w:szCs w:val="32"/>
        </w:rPr>
      </w:pPr>
      <w:bookmarkStart w:id="2" w:name="_Toc14283"/>
      <w:r>
        <w:rPr>
          <w:rFonts w:hint="eastAsia" w:ascii="国标黑体" w:hAnsi="国标黑体" w:eastAsia="国标黑体" w:cs="国标黑体"/>
          <w:color w:val="auto"/>
          <w:sz w:val="32"/>
          <w:szCs w:val="32"/>
        </w:rPr>
        <w:t>一、工作简况</w:t>
      </w:r>
      <w:bookmarkEnd w:id="2"/>
    </w:p>
    <w:p w14:paraId="7FCEF2F1">
      <w:pPr>
        <w:keepNext w:val="0"/>
        <w:keepLines w:val="0"/>
        <w:pageBreakBefore w:val="0"/>
        <w:kinsoku/>
        <w:wordWrap/>
        <w:overflowPunct/>
        <w:topLinePunct w:val="0"/>
        <w:autoSpaceDE/>
        <w:autoSpaceDN/>
        <w:bidi w:val="0"/>
        <w:adjustRightInd/>
        <w:snapToGrid/>
        <w:spacing w:line="600" w:lineRule="exact"/>
        <w:ind w:firstLine="643" w:firstLineChars="200"/>
        <w:textAlignment w:val="auto"/>
        <w:outlineLvl w:val="1"/>
        <w:rPr>
          <w:rFonts w:hint="eastAsia" w:ascii="楷体_GB2312" w:hAnsi="楷体_GB2312" w:eastAsia="楷体_GB2312" w:cs="楷体_GB2312"/>
          <w:b/>
          <w:bCs/>
          <w:color w:val="auto"/>
          <w:sz w:val="32"/>
          <w:szCs w:val="32"/>
        </w:rPr>
      </w:pPr>
      <w:bookmarkStart w:id="3" w:name="_Toc28662"/>
      <w:r>
        <w:rPr>
          <w:rFonts w:hint="eastAsia" w:ascii="楷体_GB2312" w:hAnsi="楷体_GB2312" w:eastAsia="楷体_GB2312" w:cs="楷体_GB2312"/>
          <w:b/>
          <w:bCs/>
          <w:color w:val="auto"/>
          <w:sz w:val="32"/>
          <w:szCs w:val="32"/>
        </w:rPr>
        <w:t>（一）任务来源</w:t>
      </w:r>
      <w:bookmarkEnd w:id="3"/>
    </w:p>
    <w:p w14:paraId="34C441B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2024年12月4日，宁夏回族自治区动物疾病预防控制中心申请《牛羊布鲁氏菌病免疫操作技术规范》地方标准的立项，经</w:t>
      </w:r>
      <w:r>
        <w:rPr>
          <w:rFonts w:hint="eastAsia" w:ascii="Times New Roman" w:hAnsi="Times New Roman" w:eastAsia="仿宋_GB2312" w:cs="Times New Roman"/>
          <w:color w:val="auto"/>
          <w:sz w:val="32"/>
          <w:szCs w:val="32"/>
          <w:highlight w:val="none"/>
          <w:lang w:val="en-US" w:eastAsia="zh-CN"/>
        </w:rPr>
        <w:t>自治区农业农村厅、</w:t>
      </w:r>
      <w:r>
        <w:rPr>
          <w:rFonts w:hint="default" w:ascii="Times New Roman" w:hAnsi="Times New Roman" w:eastAsia="仿宋_GB2312" w:cs="Times New Roman"/>
          <w:color w:val="auto"/>
          <w:sz w:val="32"/>
          <w:szCs w:val="32"/>
          <w:highlight w:val="none"/>
          <w:lang w:val="en-US" w:eastAsia="zh-CN"/>
        </w:rPr>
        <w:t>自治区市场监管厅组织材料审查和专家论证，根据</w:t>
      </w:r>
      <w:r>
        <w:rPr>
          <w:rFonts w:hint="default" w:ascii="Times New Roman" w:hAnsi="Times New Roman" w:eastAsia="仿宋_GB2312" w:cs="Times New Roman"/>
          <w:color w:val="auto"/>
          <w:sz w:val="32"/>
          <w:szCs w:val="32"/>
          <w:highlight w:val="none"/>
        </w:rPr>
        <w:t>《自治区市场监管厅关于下达</w:t>
      </w:r>
      <w:r>
        <w:rPr>
          <w:rFonts w:hint="default" w:ascii="Times New Roman" w:hAnsi="Times New Roman" w:eastAsia="仿宋_GB2312" w:cs="Times New Roman"/>
          <w:color w:val="auto"/>
          <w:sz w:val="32"/>
          <w:szCs w:val="32"/>
          <w:highlight w:val="none"/>
          <w:lang w:val="en-US" w:eastAsia="zh-CN"/>
        </w:rPr>
        <w:t>2025</w:t>
      </w:r>
      <w:r>
        <w:rPr>
          <w:rFonts w:hint="default" w:ascii="Times New Roman" w:hAnsi="Times New Roman" w:eastAsia="仿宋_GB2312" w:cs="Times New Roman"/>
          <w:color w:val="auto"/>
          <w:sz w:val="32"/>
          <w:szCs w:val="32"/>
          <w:highlight w:val="none"/>
        </w:rPr>
        <w:t>年地方标准制（修）订计划的通知》，</w:t>
      </w:r>
      <w:r>
        <w:rPr>
          <w:rFonts w:hint="default" w:ascii="Times New Roman" w:hAnsi="Times New Roman" w:eastAsia="仿宋_GB2312" w:cs="Times New Roman"/>
          <w:color w:val="auto"/>
          <w:sz w:val="32"/>
          <w:szCs w:val="32"/>
          <w:highlight w:val="none"/>
          <w:lang w:eastAsia="zh-CN"/>
        </w:rPr>
        <w:t>决定将《</w:t>
      </w:r>
      <w:r>
        <w:rPr>
          <w:rFonts w:hint="default" w:ascii="Times New Roman" w:hAnsi="Times New Roman" w:eastAsia="仿宋_GB2312" w:cs="Times New Roman"/>
          <w:color w:val="auto"/>
          <w:sz w:val="32"/>
          <w:szCs w:val="32"/>
          <w:highlight w:val="none"/>
          <w:lang w:val="en-US" w:eastAsia="zh-CN"/>
        </w:rPr>
        <w:t>牛羊布鲁氏菌病免疫操作技术规范</w:t>
      </w:r>
      <w:r>
        <w:rPr>
          <w:rFonts w:hint="default" w:ascii="Times New Roman" w:hAnsi="Times New Roman" w:eastAsia="仿宋_GB2312" w:cs="Times New Roman"/>
          <w:color w:val="auto"/>
          <w:sz w:val="32"/>
          <w:szCs w:val="32"/>
          <w:highlight w:val="none"/>
          <w:lang w:eastAsia="zh-CN"/>
        </w:rPr>
        <w:t>》列入</w:t>
      </w:r>
      <w:r>
        <w:rPr>
          <w:rFonts w:hint="default" w:ascii="Times New Roman" w:hAnsi="Times New Roman" w:eastAsia="仿宋_GB2312" w:cs="Times New Roman"/>
          <w:color w:val="auto"/>
          <w:sz w:val="32"/>
          <w:szCs w:val="32"/>
          <w:highlight w:val="none"/>
          <w:lang w:val="en-US" w:eastAsia="zh-CN"/>
        </w:rPr>
        <w:t>2025年地方标准制定计划。宁夏回族自治区动物疾病预防控制中心作为本项目主持单位，结合宁夏牛羊布鲁氏菌病防控工作需求的实际情况，编制《牛羊布鲁氏菌病免疫操作技术规范》地方标准，标准由宁夏回族自治区农业农村厅提出、归口并组织实施。</w:t>
      </w:r>
    </w:p>
    <w:p w14:paraId="60FA973B">
      <w:pPr>
        <w:keepNext w:val="0"/>
        <w:keepLines w:val="0"/>
        <w:pageBreakBefore w:val="0"/>
        <w:kinsoku/>
        <w:wordWrap/>
        <w:overflowPunct/>
        <w:topLinePunct w:val="0"/>
        <w:autoSpaceDE/>
        <w:autoSpaceDN/>
        <w:bidi w:val="0"/>
        <w:adjustRightInd/>
        <w:snapToGrid/>
        <w:spacing w:line="600" w:lineRule="exact"/>
        <w:ind w:firstLine="643" w:firstLineChars="200"/>
        <w:textAlignment w:val="auto"/>
        <w:outlineLvl w:val="1"/>
        <w:rPr>
          <w:rFonts w:hint="eastAsia" w:ascii="楷体_GB2312" w:hAnsi="楷体_GB2312" w:eastAsia="楷体_GB2312" w:cs="楷体_GB2312"/>
          <w:b/>
          <w:bCs/>
          <w:color w:val="auto"/>
          <w:sz w:val="32"/>
          <w:szCs w:val="32"/>
        </w:rPr>
      </w:pPr>
      <w:bookmarkStart w:id="4" w:name="_Toc8093"/>
      <w:r>
        <w:rPr>
          <w:rFonts w:hint="eastAsia" w:ascii="楷体_GB2312" w:hAnsi="楷体_GB2312" w:eastAsia="楷体_GB2312" w:cs="楷体_GB2312"/>
          <w:b/>
          <w:bCs/>
          <w:color w:val="auto"/>
          <w:sz w:val="32"/>
          <w:szCs w:val="32"/>
        </w:rPr>
        <w:t>（二）起草单位</w:t>
      </w:r>
      <w:bookmarkEnd w:id="4"/>
    </w:p>
    <w:p w14:paraId="280D2DE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本标准项目主要承担单位：宁夏回族自治区动物疾病预防控制中心</w:t>
      </w:r>
      <w:r>
        <w:rPr>
          <w:rFonts w:hint="default" w:ascii="Times New Roman" w:hAnsi="Times New Roman" w:eastAsia="仿宋_GB2312" w:cs="Times New Roman"/>
          <w:color w:val="auto"/>
          <w:sz w:val="32"/>
          <w:szCs w:val="32"/>
          <w:lang w:eastAsia="zh-CN"/>
        </w:rPr>
        <w:t>。</w:t>
      </w:r>
    </w:p>
    <w:p w14:paraId="300A148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本标准无协作单位。</w:t>
      </w:r>
    </w:p>
    <w:p w14:paraId="63721F6B">
      <w:pPr>
        <w:keepNext w:val="0"/>
        <w:keepLines w:val="0"/>
        <w:pageBreakBefore w:val="0"/>
        <w:kinsoku/>
        <w:wordWrap/>
        <w:overflowPunct/>
        <w:topLinePunct w:val="0"/>
        <w:autoSpaceDE/>
        <w:autoSpaceDN/>
        <w:bidi w:val="0"/>
        <w:adjustRightInd/>
        <w:snapToGrid/>
        <w:spacing w:line="600" w:lineRule="exact"/>
        <w:ind w:firstLine="643" w:firstLineChars="200"/>
        <w:textAlignment w:val="auto"/>
        <w:outlineLvl w:val="1"/>
        <w:rPr>
          <w:rFonts w:hint="eastAsia" w:ascii="楷体_GB2312" w:hAnsi="楷体_GB2312" w:eastAsia="楷体_GB2312" w:cs="楷体_GB2312"/>
          <w:b/>
          <w:bCs/>
          <w:color w:val="auto"/>
          <w:sz w:val="32"/>
          <w:szCs w:val="32"/>
          <w:lang w:eastAsia="zh-CN"/>
        </w:rPr>
      </w:pPr>
      <w:bookmarkStart w:id="5" w:name="_Toc6245"/>
      <w:r>
        <w:rPr>
          <w:rFonts w:hint="eastAsia" w:ascii="楷体_GB2312" w:hAnsi="楷体_GB2312" w:eastAsia="楷体_GB2312" w:cs="楷体_GB2312"/>
          <w:b/>
          <w:bCs/>
          <w:color w:val="auto"/>
          <w:sz w:val="32"/>
          <w:szCs w:val="32"/>
        </w:rPr>
        <w:t>（三）主要起草人</w:t>
      </w:r>
      <w:r>
        <w:rPr>
          <w:rFonts w:hint="eastAsia" w:ascii="楷体_GB2312" w:hAnsi="楷体_GB2312" w:eastAsia="楷体_GB2312" w:cs="楷体_GB2312"/>
          <w:b/>
          <w:bCs/>
          <w:color w:val="auto"/>
          <w:sz w:val="32"/>
          <w:szCs w:val="32"/>
          <w:lang w:eastAsia="zh-CN"/>
        </w:rPr>
        <w:t>及分工</w:t>
      </w:r>
      <w:bookmarkEnd w:id="5"/>
    </w:p>
    <w:p w14:paraId="73D41BD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lang w:eastAsia="zh-CN"/>
        </w:rPr>
      </w:pPr>
      <w:r>
        <w:rPr>
          <w:rFonts w:hint="default" w:ascii="Times New Roman" w:hAnsi="Times New Roman" w:eastAsia="仿宋_GB2312" w:cs="Times New Roman"/>
          <w:color w:val="auto"/>
          <w:sz w:val="32"/>
          <w:szCs w:val="32"/>
          <w:lang w:eastAsia="zh-CN"/>
        </w:rPr>
        <w:t>路静为标准起草组第一起草人，主要负责标准提出、立项及主要内容制定，并把控项目进度和质量等。</w:t>
      </w:r>
    </w:p>
    <w:p w14:paraId="17E78A4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杨佳冰、闫小芹、周海宁、高建龙为标准起草组</w:t>
      </w:r>
      <w:r>
        <w:rPr>
          <w:rFonts w:hint="default" w:ascii="Times New Roman" w:hAnsi="Times New Roman" w:eastAsia="仿宋_GB2312" w:cs="Times New Roman"/>
          <w:color w:val="auto"/>
          <w:sz w:val="32"/>
          <w:szCs w:val="32"/>
        </w:rPr>
        <w:t>主要</w:t>
      </w:r>
      <w:r>
        <w:rPr>
          <w:rFonts w:hint="default" w:ascii="Times New Roman" w:hAnsi="Times New Roman" w:eastAsia="仿宋_GB2312" w:cs="Times New Roman"/>
          <w:color w:val="auto"/>
          <w:sz w:val="32"/>
          <w:szCs w:val="32"/>
          <w:lang w:eastAsia="zh-CN"/>
        </w:rPr>
        <w:t>起草</w:t>
      </w:r>
      <w:r>
        <w:rPr>
          <w:rFonts w:hint="default" w:ascii="Times New Roman" w:hAnsi="Times New Roman" w:eastAsia="仿宋_GB2312" w:cs="Times New Roman"/>
          <w:color w:val="auto"/>
          <w:sz w:val="32"/>
          <w:szCs w:val="32"/>
        </w:rPr>
        <w:t>人</w:t>
      </w:r>
      <w:r>
        <w:rPr>
          <w:rFonts w:hint="default" w:ascii="Times New Roman" w:hAnsi="Times New Roman" w:eastAsia="仿宋_GB2312" w:cs="Times New Roman"/>
          <w:color w:val="auto"/>
          <w:sz w:val="32"/>
          <w:szCs w:val="32"/>
          <w:lang w:eastAsia="zh-CN"/>
        </w:rPr>
        <w:t>，承担牛羊布鲁氏菌病活疫苗使用者的实际情况调研、技术指标确定、</w:t>
      </w:r>
      <w:r>
        <w:rPr>
          <w:rFonts w:hint="default" w:ascii="Times New Roman" w:hAnsi="Times New Roman" w:eastAsia="仿宋_GB2312" w:cs="Times New Roman"/>
          <w:color w:val="auto"/>
          <w:sz w:val="32"/>
          <w:szCs w:val="32"/>
        </w:rPr>
        <w:t>专家意见</w:t>
      </w:r>
      <w:r>
        <w:rPr>
          <w:rFonts w:hint="default" w:ascii="Times New Roman" w:hAnsi="Times New Roman" w:eastAsia="仿宋_GB2312" w:cs="Times New Roman"/>
          <w:color w:val="auto"/>
          <w:sz w:val="32"/>
          <w:szCs w:val="32"/>
          <w:lang w:eastAsia="zh-CN"/>
        </w:rPr>
        <w:t>征集</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标准草稿编写等，并全程参与标准文本讨论、修改等。</w:t>
      </w:r>
    </w:p>
    <w:p w14:paraId="2991BCD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靳光秀、</w:t>
      </w:r>
      <w:r>
        <w:rPr>
          <w:rFonts w:hint="default" w:ascii="Times New Roman" w:hAnsi="Times New Roman" w:eastAsia="仿宋_GB2312" w:cs="Times New Roman"/>
          <w:color w:val="auto"/>
          <w:sz w:val="32"/>
          <w:szCs w:val="32"/>
          <w:lang w:eastAsia="zh-CN"/>
        </w:rPr>
        <w:t>谭倩、艾文、罗龙龙、</w:t>
      </w:r>
      <w:r>
        <w:rPr>
          <w:rFonts w:hint="eastAsia" w:ascii="Times New Roman" w:hAnsi="Times New Roman" w:eastAsia="仿宋_GB2312" w:cs="Times New Roman"/>
          <w:color w:val="auto"/>
          <w:sz w:val="32"/>
          <w:szCs w:val="32"/>
          <w:lang w:val="en-US" w:eastAsia="zh-CN"/>
        </w:rPr>
        <w:t>许华俊</w:t>
      </w:r>
      <w:r>
        <w:rPr>
          <w:rFonts w:hint="default" w:ascii="Times New Roman" w:hAnsi="Times New Roman" w:eastAsia="仿宋_GB2312" w:cs="Times New Roman"/>
          <w:color w:val="auto"/>
          <w:sz w:val="32"/>
          <w:szCs w:val="32"/>
          <w:lang w:val="en-US" w:eastAsia="zh-CN"/>
        </w:rPr>
        <w:t>为标准起草组主要起草人，承担本标准的试验验证、示范推广，意见反馈汇总等，参与部分标准文本讨论、修改等。</w:t>
      </w:r>
    </w:p>
    <w:p w14:paraId="217B1E8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宗亮泽作为标准起草组的顾问，主要对技术关键点进行确认。</w:t>
      </w:r>
      <w:r>
        <w:rPr>
          <w:rFonts w:hint="eastAsia" w:ascii="Times New Roman" w:hAnsi="Times New Roman" w:eastAsia="仿宋_GB2312" w:cs="Times New Roman"/>
          <w:color w:val="auto"/>
          <w:sz w:val="32"/>
          <w:szCs w:val="32"/>
          <w:lang w:val="en-US" w:eastAsia="zh-CN"/>
        </w:rPr>
        <w:t>马金昕</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张玉玲、蔡东东、张虎、谢敏、陈思思、</w:t>
      </w:r>
      <w:r>
        <w:rPr>
          <w:rFonts w:hint="default" w:ascii="Times New Roman" w:hAnsi="Times New Roman" w:eastAsia="仿宋_GB2312" w:cs="Times New Roman"/>
          <w:color w:val="auto"/>
          <w:sz w:val="32"/>
          <w:szCs w:val="32"/>
          <w:highlight w:val="none"/>
          <w:lang w:eastAsia="zh-CN"/>
        </w:rPr>
        <w:t>马兆国、</w:t>
      </w:r>
      <w:r>
        <w:rPr>
          <w:rFonts w:hint="eastAsia" w:ascii="Times New Roman" w:hAnsi="Times New Roman" w:eastAsia="仿宋_GB2312" w:cs="Times New Roman"/>
          <w:color w:val="auto"/>
          <w:sz w:val="32"/>
          <w:szCs w:val="32"/>
          <w:highlight w:val="none"/>
          <w:lang w:eastAsia="zh-CN"/>
        </w:rPr>
        <w:t>温超、何雪婷、丁辉、姜彦飞、李彦强</w:t>
      </w:r>
      <w:r>
        <w:rPr>
          <w:rFonts w:hint="default"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rPr>
        <w:t>参与</w:t>
      </w:r>
      <w:r>
        <w:rPr>
          <w:rFonts w:hint="eastAsia" w:ascii="Times New Roman" w:hAnsi="Times New Roman" w:eastAsia="仿宋_GB2312" w:cs="Times New Roman"/>
          <w:color w:val="auto"/>
          <w:sz w:val="32"/>
          <w:szCs w:val="32"/>
          <w:highlight w:val="none"/>
          <w:lang w:val="en-US" w:eastAsia="zh-CN"/>
        </w:rPr>
        <w:t>部分</w:t>
      </w:r>
      <w:r>
        <w:rPr>
          <w:rFonts w:hint="default" w:ascii="Times New Roman" w:hAnsi="Times New Roman" w:eastAsia="仿宋_GB2312" w:cs="Times New Roman"/>
          <w:color w:val="auto"/>
          <w:sz w:val="32"/>
          <w:szCs w:val="32"/>
          <w:highlight w:val="none"/>
        </w:rPr>
        <w:t>标准文本讨论、修改等。</w:t>
      </w:r>
    </w:p>
    <w:p w14:paraId="686068B5">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eastAsia" w:ascii="国标黑体" w:hAnsi="国标黑体" w:eastAsia="国标黑体" w:cs="国标黑体"/>
          <w:color w:val="auto"/>
          <w:sz w:val="32"/>
          <w:szCs w:val="32"/>
        </w:rPr>
      </w:pPr>
      <w:bookmarkStart w:id="6" w:name="_Toc9799"/>
      <w:r>
        <w:rPr>
          <w:rFonts w:hint="eastAsia" w:ascii="国标黑体" w:hAnsi="国标黑体" w:eastAsia="国标黑体" w:cs="国标黑体"/>
          <w:color w:val="auto"/>
          <w:sz w:val="32"/>
          <w:szCs w:val="32"/>
        </w:rPr>
        <w:t>二、制定标准的必要性和意义</w:t>
      </w:r>
      <w:bookmarkEnd w:id="6"/>
    </w:p>
    <w:p w14:paraId="05E49D3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color w:val="auto"/>
          <w:sz w:val="32"/>
          <w:szCs w:val="32"/>
          <w:lang w:eastAsia="zh-CN"/>
        </w:rPr>
        <w:t>布鲁氏菌病（以下简称布病）是一种严重危害人类身体健康和畜牧业高质量发展的人兽共患传染病，主要感染人和牛、羊等家畜。人感染后表现高热、乏力、关节疼痛、</w:t>
      </w:r>
      <w:r>
        <w:rPr>
          <w:rFonts w:hint="default" w:ascii="Times New Roman" w:hAnsi="Times New Roman" w:eastAsia="仿宋_GB2312" w:cs="Times New Roman"/>
          <w:b w:val="0"/>
          <w:bCs w:val="0"/>
          <w:color w:val="auto"/>
          <w:sz w:val="32"/>
          <w:szCs w:val="32"/>
          <w:lang w:val="en-US" w:eastAsia="zh-CN"/>
        </w:rPr>
        <w:t>生殖能力下降，严重者丧失劳动能力甚至危及生命。</w:t>
      </w:r>
      <w:r>
        <w:rPr>
          <w:rFonts w:hint="default" w:ascii="Times New Roman" w:hAnsi="Times New Roman" w:eastAsia="仿宋_GB2312" w:cs="Times New Roman"/>
          <w:b w:val="0"/>
          <w:bCs w:val="0"/>
          <w:color w:val="auto"/>
          <w:sz w:val="32"/>
          <w:szCs w:val="32"/>
        </w:rPr>
        <w:t>患病母畜</w:t>
      </w:r>
      <w:r>
        <w:rPr>
          <w:rFonts w:hint="default" w:ascii="Times New Roman" w:hAnsi="Times New Roman" w:eastAsia="仿宋_GB2312" w:cs="Times New Roman"/>
          <w:b w:val="0"/>
          <w:bCs w:val="0"/>
          <w:color w:val="auto"/>
          <w:sz w:val="32"/>
          <w:szCs w:val="32"/>
          <w:lang w:val="en-US" w:eastAsia="zh-CN"/>
        </w:rPr>
        <w:t>易发生</w:t>
      </w:r>
      <w:r>
        <w:rPr>
          <w:rFonts w:hint="default" w:ascii="Times New Roman" w:hAnsi="Times New Roman" w:eastAsia="仿宋_GB2312" w:cs="Times New Roman"/>
          <w:b w:val="0"/>
          <w:bCs w:val="0"/>
          <w:color w:val="auto"/>
          <w:sz w:val="32"/>
          <w:szCs w:val="32"/>
        </w:rPr>
        <w:t>流产、乳房炎，公畜</w:t>
      </w:r>
      <w:r>
        <w:rPr>
          <w:rFonts w:hint="default" w:ascii="Times New Roman" w:hAnsi="Times New Roman" w:eastAsia="仿宋_GB2312" w:cs="Times New Roman"/>
          <w:b w:val="0"/>
          <w:bCs w:val="0"/>
          <w:color w:val="auto"/>
          <w:sz w:val="32"/>
          <w:szCs w:val="32"/>
          <w:lang w:val="en-US" w:eastAsia="zh-CN"/>
        </w:rPr>
        <w:t>则可能患上</w:t>
      </w:r>
      <w:r>
        <w:rPr>
          <w:rFonts w:hint="default" w:ascii="Times New Roman" w:hAnsi="Times New Roman" w:eastAsia="仿宋_GB2312" w:cs="Times New Roman"/>
          <w:b w:val="0"/>
          <w:bCs w:val="0"/>
          <w:color w:val="auto"/>
          <w:sz w:val="32"/>
          <w:szCs w:val="32"/>
        </w:rPr>
        <w:t>睾丸炎、附睾炎等</w:t>
      </w:r>
      <w:r>
        <w:rPr>
          <w:rFonts w:hint="default" w:ascii="Times New Roman" w:hAnsi="Times New Roman" w:eastAsia="仿宋_GB2312" w:cs="Times New Roman"/>
          <w:b w:val="0"/>
          <w:bCs w:val="0"/>
          <w:color w:val="auto"/>
          <w:sz w:val="32"/>
          <w:szCs w:val="32"/>
          <w:lang w:val="en-US" w:eastAsia="zh-CN"/>
        </w:rPr>
        <w:t>疾病</w:t>
      </w:r>
      <w:r>
        <w:rPr>
          <w:rFonts w:hint="default" w:ascii="Times New Roman" w:hAnsi="Times New Roman" w:eastAsia="仿宋_GB2312" w:cs="Times New Roman"/>
          <w:b w:val="0"/>
          <w:bCs w:val="0"/>
          <w:color w:val="auto"/>
          <w:sz w:val="32"/>
          <w:szCs w:val="32"/>
        </w:rPr>
        <w:t>，</w:t>
      </w:r>
      <w:r>
        <w:rPr>
          <w:rFonts w:hint="default" w:ascii="Times New Roman" w:hAnsi="Times New Roman" w:eastAsia="仿宋_GB2312" w:cs="Times New Roman"/>
          <w:b w:val="0"/>
          <w:bCs w:val="0"/>
          <w:color w:val="auto"/>
          <w:sz w:val="32"/>
          <w:szCs w:val="32"/>
          <w:lang w:val="en-US" w:eastAsia="zh-CN"/>
        </w:rPr>
        <w:t>导致</w:t>
      </w:r>
      <w:r>
        <w:rPr>
          <w:rFonts w:hint="default" w:ascii="Times New Roman" w:hAnsi="Times New Roman" w:eastAsia="仿宋_GB2312" w:cs="Times New Roman"/>
          <w:b w:val="0"/>
          <w:bCs w:val="0"/>
          <w:color w:val="auto"/>
          <w:sz w:val="32"/>
          <w:szCs w:val="32"/>
        </w:rPr>
        <w:t>生产性能下降</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我国《传染病防治法》将其列为法定报告的乙类传染病、</w:t>
      </w:r>
      <w:r>
        <w:rPr>
          <w:rFonts w:hint="eastAsia"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动物防疫法</w:t>
      </w:r>
      <w:r>
        <w:rPr>
          <w:rFonts w:hint="eastAsia"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将其列为二类动物疫病，世界动物卫生组织（WOAH）也将其纳入法定报告动物疫病范畴。</w:t>
      </w:r>
    </w:p>
    <w:p w14:paraId="4230D8B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b w:val="0"/>
          <w:bCs w:val="0"/>
          <w:color w:val="auto"/>
          <w:sz w:val="32"/>
          <w:szCs w:val="32"/>
          <w:lang w:val="en-US" w:eastAsia="zh-CN"/>
        </w:rPr>
        <w:t>宁夏是布病流行一类地区，近年来人间和畜间布病感染率持续处于高位。以2022年为例，人间布病报告病例达87.40/10万；畜间布病基线调查显示奶牛、肉牛、羊布病场群阳性率分别为15.15%、30.01%、12.4%，个体阳性率分别为17.95%、17.28%和9.25%，疫情形势十分严峻。</w:t>
      </w:r>
    </w:p>
    <w:p w14:paraId="6CC4119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val="0"/>
          <w:bCs w:val="0"/>
          <w:color w:val="auto"/>
          <w:sz w:val="32"/>
          <w:szCs w:val="32"/>
          <w:lang w:val="en-US" w:eastAsia="zh-CN"/>
        </w:rPr>
        <w:t>牛奶、肉牛、滩羊等“六特”产业是宁夏农业发展、农民增收的支柱产业。截止2025年12月，全区奶牛存栏87.7万头、肉牛饲养量267万头、肉羊饲养量1607万只，其产值占农林牧渔总产值超七成。因此，做好布病防控工作，对于保障“六特”产业健康、可持续、高质量发展至关重要。</w:t>
      </w:r>
      <w:r>
        <w:rPr>
          <w:rFonts w:hint="default" w:ascii="Times New Roman" w:hAnsi="Times New Roman" w:eastAsia="仿宋_GB2312" w:cs="Times New Roman"/>
          <w:color w:val="auto"/>
          <w:sz w:val="32"/>
          <w:szCs w:val="32"/>
          <w:lang w:eastAsia="zh-CN"/>
        </w:rPr>
        <w:t>免疫接种是防控传染病最经济、最有效的手段，也是</w:t>
      </w:r>
      <w:r>
        <w:rPr>
          <w:rFonts w:hint="default" w:ascii="Times New Roman" w:hAnsi="Times New Roman" w:eastAsia="仿宋_GB2312" w:cs="Times New Roman"/>
          <w:color w:val="auto"/>
          <w:sz w:val="32"/>
          <w:szCs w:val="32"/>
          <w:lang w:val="en-US" w:eastAsia="zh-CN"/>
        </w:rPr>
        <w:t>宁夏</w:t>
      </w:r>
      <w:r>
        <w:rPr>
          <w:rFonts w:hint="default" w:ascii="Times New Roman" w:hAnsi="Times New Roman" w:eastAsia="仿宋_GB2312" w:cs="Times New Roman"/>
          <w:color w:val="auto"/>
          <w:sz w:val="32"/>
          <w:szCs w:val="32"/>
          <w:lang w:eastAsia="zh-CN"/>
        </w:rPr>
        <w:t>防控布病所采取的重要手段。但目前国家批准上市的布病疫苗均为活菌疫苗，对人有一定潜在感染风险，在布病免疫操作</w:t>
      </w:r>
      <w:r>
        <w:rPr>
          <w:rFonts w:hint="default" w:ascii="Times New Roman" w:hAnsi="Times New Roman" w:eastAsia="仿宋_GB2312" w:cs="Times New Roman"/>
          <w:color w:val="auto"/>
          <w:sz w:val="32"/>
          <w:szCs w:val="32"/>
          <w:lang w:val="en-US" w:eastAsia="zh-CN"/>
        </w:rPr>
        <w:t>过程</w:t>
      </w:r>
      <w:r>
        <w:rPr>
          <w:rFonts w:hint="default" w:ascii="Times New Roman" w:hAnsi="Times New Roman" w:eastAsia="仿宋_GB2312" w:cs="Times New Roman"/>
          <w:color w:val="auto"/>
          <w:sz w:val="32"/>
          <w:szCs w:val="32"/>
          <w:lang w:eastAsia="zh-CN"/>
        </w:rPr>
        <w:t>中，</w:t>
      </w:r>
      <w:r>
        <w:rPr>
          <w:rFonts w:hint="default" w:ascii="Times New Roman" w:hAnsi="Times New Roman" w:eastAsia="仿宋_GB2312" w:cs="Times New Roman"/>
          <w:color w:val="auto"/>
          <w:sz w:val="32"/>
          <w:szCs w:val="32"/>
          <w:lang w:val="en-US" w:eastAsia="zh-CN"/>
        </w:rPr>
        <w:t>若</w:t>
      </w:r>
      <w:r>
        <w:rPr>
          <w:rFonts w:hint="default" w:ascii="Times New Roman" w:hAnsi="Times New Roman" w:eastAsia="仿宋_GB2312" w:cs="Times New Roman"/>
          <w:color w:val="auto"/>
          <w:sz w:val="32"/>
          <w:szCs w:val="32"/>
          <w:lang w:eastAsia="zh-CN"/>
        </w:rPr>
        <w:t>个人防护不严密、消毒不彻底、</w:t>
      </w:r>
      <w:r>
        <w:rPr>
          <w:rFonts w:hint="default" w:ascii="Times New Roman" w:hAnsi="Times New Roman" w:eastAsia="仿宋_GB2312" w:cs="Times New Roman"/>
          <w:color w:val="auto"/>
          <w:sz w:val="32"/>
          <w:szCs w:val="32"/>
          <w:lang w:val="en-US" w:eastAsia="zh-CN"/>
        </w:rPr>
        <w:t>操作</w:t>
      </w:r>
      <w:r>
        <w:rPr>
          <w:rFonts w:hint="default" w:ascii="Times New Roman" w:hAnsi="Times New Roman" w:eastAsia="仿宋_GB2312" w:cs="Times New Roman"/>
          <w:color w:val="auto"/>
          <w:sz w:val="32"/>
          <w:szCs w:val="32"/>
          <w:lang w:eastAsia="zh-CN"/>
        </w:rPr>
        <w:t>程序</w:t>
      </w:r>
      <w:r>
        <w:rPr>
          <w:rFonts w:hint="default" w:ascii="Times New Roman" w:hAnsi="Times New Roman" w:eastAsia="仿宋_GB2312" w:cs="Times New Roman"/>
          <w:color w:val="auto"/>
          <w:sz w:val="32"/>
          <w:szCs w:val="32"/>
          <w:lang w:val="en-US" w:eastAsia="zh-CN"/>
        </w:rPr>
        <w:t>不规范</w:t>
      </w:r>
      <w:r>
        <w:rPr>
          <w:rFonts w:hint="default" w:ascii="Times New Roman" w:hAnsi="Times New Roman" w:eastAsia="仿宋_GB2312" w:cs="Times New Roman"/>
          <w:color w:val="auto"/>
          <w:sz w:val="32"/>
          <w:szCs w:val="32"/>
          <w:lang w:eastAsia="zh-CN"/>
        </w:rPr>
        <w:t>或废弃物处置不</w:t>
      </w:r>
      <w:r>
        <w:rPr>
          <w:rFonts w:hint="default" w:ascii="Times New Roman" w:hAnsi="Times New Roman" w:eastAsia="仿宋_GB2312" w:cs="Times New Roman"/>
          <w:color w:val="auto"/>
          <w:sz w:val="32"/>
          <w:szCs w:val="32"/>
          <w:lang w:val="en-US" w:eastAsia="zh-CN"/>
        </w:rPr>
        <w:t>当</w:t>
      </w:r>
      <w:r>
        <w:rPr>
          <w:rFonts w:hint="default" w:ascii="Times New Roman" w:hAnsi="Times New Roman" w:eastAsia="仿宋_GB2312" w:cs="Times New Roman"/>
          <w:color w:val="auto"/>
          <w:sz w:val="32"/>
          <w:szCs w:val="32"/>
          <w:lang w:eastAsia="zh-CN"/>
        </w:rPr>
        <w:t>等，</w:t>
      </w:r>
      <w:r>
        <w:rPr>
          <w:rFonts w:hint="default" w:ascii="Times New Roman" w:hAnsi="Times New Roman" w:eastAsia="仿宋_GB2312" w:cs="Times New Roman"/>
          <w:color w:val="auto"/>
          <w:sz w:val="32"/>
          <w:szCs w:val="32"/>
          <w:lang w:val="en-US" w:eastAsia="zh-CN"/>
        </w:rPr>
        <w:t>不仅会导致</w:t>
      </w:r>
      <w:r>
        <w:rPr>
          <w:rFonts w:hint="default" w:ascii="Times New Roman" w:hAnsi="Times New Roman" w:eastAsia="仿宋_GB2312" w:cs="Times New Roman"/>
          <w:color w:val="auto"/>
          <w:sz w:val="32"/>
          <w:szCs w:val="32"/>
          <w:lang w:eastAsia="zh-CN"/>
        </w:rPr>
        <w:t>免疫效果不</w:t>
      </w:r>
      <w:r>
        <w:rPr>
          <w:rFonts w:hint="default" w:ascii="Times New Roman" w:hAnsi="Times New Roman" w:eastAsia="仿宋_GB2312" w:cs="Times New Roman"/>
          <w:color w:val="auto"/>
          <w:sz w:val="32"/>
          <w:szCs w:val="32"/>
          <w:lang w:val="en-US" w:eastAsia="zh-CN"/>
        </w:rPr>
        <w:t>佳</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还</w:t>
      </w:r>
      <w:r>
        <w:rPr>
          <w:rFonts w:hint="default" w:ascii="Times New Roman" w:hAnsi="Times New Roman" w:eastAsia="仿宋_GB2312" w:cs="Times New Roman"/>
          <w:color w:val="auto"/>
          <w:sz w:val="32"/>
          <w:szCs w:val="32"/>
          <w:lang w:eastAsia="zh-CN"/>
        </w:rPr>
        <w:t>可能</w:t>
      </w:r>
      <w:r>
        <w:rPr>
          <w:rFonts w:hint="default" w:ascii="Times New Roman" w:hAnsi="Times New Roman" w:eastAsia="仿宋_GB2312" w:cs="Times New Roman"/>
          <w:color w:val="auto"/>
          <w:sz w:val="32"/>
          <w:szCs w:val="32"/>
          <w:lang w:val="en-US" w:eastAsia="zh-CN"/>
        </w:rPr>
        <w:t>引发</w:t>
      </w:r>
      <w:r>
        <w:rPr>
          <w:rFonts w:hint="default" w:ascii="Times New Roman" w:hAnsi="Times New Roman" w:eastAsia="仿宋_GB2312" w:cs="Times New Roman"/>
          <w:color w:val="auto"/>
          <w:sz w:val="32"/>
          <w:szCs w:val="32"/>
          <w:lang w:eastAsia="zh-CN"/>
        </w:rPr>
        <w:t>人</w:t>
      </w:r>
      <w:r>
        <w:rPr>
          <w:rFonts w:hint="default" w:ascii="Times New Roman" w:hAnsi="Times New Roman" w:eastAsia="仿宋_GB2312" w:cs="Times New Roman"/>
          <w:color w:val="auto"/>
          <w:sz w:val="32"/>
          <w:szCs w:val="32"/>
          <w:lang w:val="en-US" w:eastAsia="zh-CN"/>
        </w:rPr>
        <w:t>体</w:t>
      </w:r>
      <w:r>
        <w:rPr>
          <w:rFonts w:hint="default" w:ascii="Times New Roman" w:hAnsi="Times New Roman" w:eastAsia="仿宋_GB2312" w:cs="Times New Roman"/>
          <w:color w:val="auto"/>
          <w:sz w:val="32"/>
          <w:szCs w:val="32"/>
          <w:lang w:eastAsia="zh-CN"/>
        </w:rPr>
        <w:t>感染或环境污染</w:t>
      </w:r>
      <w:r>
        <w:rPr>
          <w:rFonts w:hint="default" w:ascii="Times New Roman" w:hAnsi="Times New Roman" w:eastAsia="仿宋_GB2312" w:cs="Times New Roman"/>
          <w:color w:val="auto"/>
          <w:sz w:val="32"/>
          <w:szCs w:val="32"/>
          <w:lang w:val="en-US" w:eastAsia="zh-CN"/>
        </w:rPr>
        <w:t>问题</w:t>
      </w:r>
      <w:r>
        <w:rPr>
          <w:rFonts w:hint="default" w:ascii="Times New Roman" w:hAnsi="Times New Roman" w:eastAsia="仿宋_GB2312" w:cs="Times New Roman"/>
          <w:color w:val="auto"/>
          <w:sz w:val="32"/>
          <w:szCs w:val="32"/>
          <w:lang w:eastAsia="zh-CN"/>
        </w:rPr>
        <w:t>。</w:t>
      </w:r>
    </w:p>
    <w:p w14:paraId="4D88682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基于此，本标准拟对宁夏境内从事牛羊布病免疫操作的单位（</w:t>
      </w:r>
      <w:r>
        <w:rPr>
          <w:rFonts w:hint="default" w:ascii="Times New Roman" w:hAnsi="Times New Roman" w:eastAsia="仿宋_GB2312" w:cs="Times New Roman"/>
          <w:color w:val="auto"/>
          <w:sz w:val="32"/>
          <w:szCs w:val="32"/>
          <w:lang w:val="en-US" w:eastAsia="zh-CN"/>
        </w:rPr>
        <w:t>包括</w:t>
      </w:r>
      <w:r>
        <w:rPr>
          <w:rFonts w:hint="default" w:ascii="Times New Roman" w:hAnsi="Times New Roman" w:eastAsia="仿宋_GB2312" w:cs="Times New Roman"/>
          <w:color w:val="auto"/>
          <w:sz w:val="32"/>
          <w:szCs w:val="32"/>
          <w:lang w:eastAsia="zh-CN"/>
        </w:rPr>
        <w:t>规模养殖场、中小养殖户、兽医社会化服务组织、区市县动物疾控机构、乡镇畜牧兽医站）和个人，在牛羊布病免疫接种时的免疫准备、免疫程序、免疫后处理和应急处置等</w:t>
      </w:r>
      <w:r>
        <w:rPr>
          <w:rFonts w:hint="default" w:ascii="Times New Roman" w:hAnsi="Times New Roman" w:eastAsia="仿宋_GB2312" w:cs="Times New Roman"/>
          <w:color w:val="auto"/>
          <w:sz w:val="32"/>
          <w:szCs w:val="32"/>
          <w:lang w:val="en-US" w:eastAsia="zh-CN"/>
        </w:rPr>
        <w:t>环节</w:t>
      </w:r>
      <w:r>
        <w:rPr>
          <w:rFonts w:hint="default" w:ascii="Times New Roman" w:hAnsi="Times New Roman" w:eastAsia="仿宋_GB2312" w:cs="Times New Roman"/>
          <w:color w:val="auto"/>
          <w:sz w:val="32"/>
          <w:szCs w:val="32"/>
          <w:lang w:eastAsia="zh-CN"/>
        </w:rPr>
        <w:t>进行</w:t>
      </w:r>
      <w:r>
        <w:rPr>
          <w:rFonts w:hint="default" w:ascii="Times New Roman" w:hAnsi="Times New Roman" w:eastAsia="仿宋_GB2312" w:cs="Times New Roman"/>
          <w:color w:val="auto"/>
          <w:sz w:val="32"/>
          <w:szCs w:val="32"/>
          <w:lang w:val="en-US" w:eastAsia="zh-CN"/>
        </w:rPr>
        <w:t>全面</w:t>
      </w:r>
      <w:r>
        <w:rPr>
          <w:rFonts w:hint="default" w:ascii="Times New Roman" w:hAnsi="Times New Roman" w:eastAsia="仿宋_GB2312" w:cs="Times New Roman"/>
          <w:color w:val="auto"/>
          <w:sz w:val="32"/>
          <w:szCs w:val="32"/>
          <w:lang w:eastAsia="zh-CN"/>
        </w:rPr>
        <w:t>规范。</w:t>
      </w:r>
      <w:r>
        <w:rPr>
          <w:rFonts w:hint="default" w:ascii="Times New Roman" w:hAnsi="Times New Roman" w:eastAsia="仿宋_GB2312" w:cs="Times New Roman"/>
          <w:color w:val="auto"/>
          <w:sz w:val="32"/>
          <w:szCs w:val="32"/>
          <w:lang w:val="en-US" w:eastAsia="zh-CN"/>
        </w:rPr>
        <w:t>这</w:t>
      </w:r>
      <w:r>
        <w:rPr>
          <w:rFonts w:hint="default" w:ascii="Times New Roman" w:hAnsi="Times New Roman" w:eastAsia="仿宋_GB2312" w:cs="Times New Roman"/>
          <w:color w:val="auto"/>
          <w:sz w:val="32"/>
          <w:szCs w:val="32"/>
          <w:lang w:eastAsia="zh-CN"/>
        </w:rPr>
        <w:t>对于推动</w:t>
      </w:r>
      <w:r>
        <w:rPr>
          <w:rFonts w:hint="default" w:ascii="Times New Roman" w:hAnsi="Times New Roman" w:eastAsia="仿宋_GB2312" w:cs="Times New Roman"/>
          <w:color w:val="auto"/>
          <w:sz w:val="32"/>
          <w:szCs w:val="32"/>
          <w:lang w:val="en-US" w:eastAsia="zh-CN"/>
        </w:rPr>
        <w:t>宁夏</w:t>
      </w:r>
      <w:r>
        <w:rPr>
          <w:rFonts w:hint="default" w:ascii="Times New Roman" w:hAnsi="Times New Roman" w:eastAsia="仿宋_GB2312" w:cs="Times New Roman"/>
          <w:color w:val="auto"/>
          <w:sz w:val="32"/>
          <w:szCs w:val="32"/>
          <w:lang w:eastAsia="zh-CN"/>
        </w:rPr>
        <w:t>动物防疫工作规范化管理，全面提升布病等人兽共患病防控系统性治理能力，提升动物防疫人员</w:t>
      </w:r>
      <w:r>
        <w:rPr>
          <w:rFonts w:hint="default" w:ascii="Times New Roman" w:hAnsi="Times New Roman" w:eastAsia="仿宋_GB2312" w:cs="Times New Roman"/>
          <w:color w:val="auto"/>
          <w:sz w:val="32"/>
          <w:szCs w:val="32"/>
          <w:lang w:val="en-US" w:eastAsia="zh-CN"/>
        </w:rPr>
        <w:t>的专业</w:t>
      </w:r>
      <w:r>
        <w:rPr>
          <w:rFonts w:hint="default" w:ascii="Times New Roman" w:hAnsi="Times New Roman" w:eastAsia="仿宋_GB2312" w:cs="Times New Roman"/>
          <w:color w:val="auto"/>
          <w:sz w:val="32"/>
          <w:szCs w:val="32"/>
          <w:lang w:eastAsia="zh-CN"/>
        </w:rPr>
        <w:t>素质，保障“六特”等养殖业生产安全</w:t>
      </w:r>
      <w:r>
        <w:rPr>
          <w:rFonts w:hint="default" w:ascii="Times New Roman" w:hAnsi="Times New Roman" w:eastAsia="仿宋_GB2312" w:cs="Times New Roman"/>
          <w:color w:val="auto"/>
          <w:sz w:val="32"/>
          <w:szCs w:val="32"/>
          <w:lang w:val="en-US" w:eastAsia="zh-CN"/>
        </w:rPr>
        <w:t>与</w:t>
      </w:r>
      <w:r>
        <w:rPr>
          <w:rFonts w:hint="default" w:ascii="Times New Roman" w:hAnsi="Times New Roman" w:eastAsia="仿宋_GB2312" w:cs="Times New Roman"/>
          <w:color w:val="auto"/>
          <w:sz w:val="32"/>
          <w:szCs w:val="32"/>
          <w:lang w:eastAsia="zh-CN"/>
        </w:rPr>
        <w:t>公共卫生安全，维护广大人民群众身体健康，具有十分重要的现实意义。</w:t>
      </w:r>
    </w:p>
    <w:p w14:paraId="4725467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年以来，宁夏回族自治区动物疾病预防控制中心持续开展布病等主要人兽共患病“百乡千村万户”宣传培训、“口罩</w:t>
      </w:r>
      <w:r>
        <w:rPr>
          <w:rFonts w:hint="default" w:ascii="Times New Roman" w:hAnsi="Times New Roman" w:eastAsia="仿宋_GB2312" w:cs="Times New Roman"/>
          <w:color w:val="auto"/>
          <w:sz w:val="32"/>
          <w:szCs w:val="32"/>
          <w:lang w:val="en-US" w:eastAsia="zh-CN"/>
        </w:rPr>
        <w:t>+手套</w:t>
      </w:r>
      <w:r>
        <w:rPr>
          <w:rFonts w:hint="default" w:ascii="Times New Roman" w:hAnsi="Times New Roman" w:eastAsia="仿宋_GB2312" w:cs="Times New Roman"/>
          <w:color w:val="auto"/>
          <w:sz w:val="32"/>
          <w:szCs w:val="32"/>
          <w:lang w:eastAsia="zh-CN"/>
        </w:rPr>
        <w:t>”专项系列行动、布病防控知识“知信行”调研等工作，梳理</w:t>
      </w:r>
      <w:r>
        <w:rPr>
          <w:rFonts w:hint="default" w:ascii="Times New Roman" w:hAnsi="Times New Roman" w:eastAsia="仿宋_GB2312" w:cs="Times New Roman"/>
          <w:color w:val="auto"/>
          <w:sz w:val="32"/>
          <w:szCs w:val="32"/>
          <w:lang w:val="en-US" w:eastAsia="zh-CN"/>
        </w:rPr>
        <w:t>出</w:t>
      </w:r>
      <w:r>
        <w:rPr>
          <w:rFonts w:hint="default" w:ascii="Times New Roman" w:hAnsi="Times New Roman" w:eastAsia="仿宋_GB2312" w:cs="Times New Roman"/>
          <w:color w:val="auto"/>
          <w:sz w:val="32"/>
          <w:szCs w:val="32"/>
          <w:lang w:eastAsia="zh-CN"/>
        </w:rPr>
        <w:t>基层养殖场户、屠宰场工作人员、动物疫病防治员在养殖、屠宰、免疫操作等工作中存在的各</w:t>
      </w:r>
      <w:r>
        <w:rPr>
          <w:rFonts w:hint="default" w:ascii="Times New Roman" w:hAnsi="Times New Roman" w:eastAsia="仿宋_GB2312" w:cs="Times New Roman"/>
          <w:color w:val="auto"/>
          <w:sz w:val="32"/>
          <w:szCs w:val="32"/>
          <w:lang w:val="en-US" w:eastAsia="zh-CN"/>
        </w:rPr>
        <w:t>类</w:t>
      </w:r>
      <w:r>
        <w:rPr>
          <w:rFonts w:hint="default" w:ascii="Times New Roman" w:hAnsi="Times New Roman" w:eastAsia="仿宋_GB2312" w:cs="Times New Roman"/>
          <w:color w:val="auto"/>
          <w:sz w:val="32"/>
          <w:szCs w:val="32"/>
          <w:lang w:eastAsia="zh-CN"/>
        </w:rPr>
        <w:t>问题；并</w:t>
      </w:r>
      <w:r>
        <w:rPr>
          <w:rFonts w:hint="default" w:ascii="Times New Roman" w:hAnsi="Times New Roman" w:eastAsia="仿宋_GB2312" w:cs="Times New Roman"/>
          <w:color w:val="auto"/>
          <w:sz w:val="32"/>
          <w:szCs w:val="32"/>
          <w:lang w:val="en-US" w:eastAsia="zh-CN"/>
        </w:rPr>
        <w:t>借助</w:t>
      </w:r>
      <w:r>
        <w:rPr>
          <w:rFonts w:hint="default" w:ascii="Times New Roman" w:hAnsi="Times New Roman" w:eastAsia="仿宋_GB2312" w:cs="Times New Roman"/>
          <w:color w:val="auto"/>
          <w:sz w:val="32"/>
          <w:szCs w:val="32"/>
          <w:lang w:eastAsia="zh-CN"/>
        </w:rPr>
        <w:t>微信、网页、小视频等多媒体</w:t>
      </w:r>
      <w:r>
        <w:rPr>
          <w:rFonts w:hint="default" w:ascii="Times New Roman" w:hAnsi="Times New Roman" w:eastAsia="仿宋_GB2312" w:cs="Times New Roman"/>
          <w:color w:val="auto"/>
          <w:sz w:val="32"/>
          <w:szCs w:val="32"/>
          <w:lang w:val="en-US" w:eastAsia="zh-CN"/>
        </w:rPr>
        <w:t>渠道，广泛</w:t>
      </w:r>
      <w:r>
        <w:rPr>
          <w:rFonts w:hint="default" w:ascii="Times New Roman" w:hAnsi="Times New Roman" w:eastAsia="仿宋_GB2312" w:cs="Times New Roman"/>
          <w:color w:val="auto"/>
          <w:sz w:val="32"/>
          <w:szCs w:val="32"/>
          <w:lang w:eastAsia="zh-CN"/>
        </w:rPr>
        <w:t>宣传布病防控知识，</w:t>
      </w:r>
      <w:r>
        <w:rPr>
          <w:rFonts w:hint="default" w:ascii="Times New Roman" w:hAnsi="Times New Roman" w:eastAsia="仿宋_GB2312" w:cs="Times New Roman"/>
          <w:color w:val="auto"/>
          <w:sz w:val="32"/>
          <w:szCs w:val="32"/>
          <w:lang w:val="en-US" w:eastAsia="zh-CN"/>
        </w:rPr>
        <w:t>着力</w:t>
      </w:r>
      <w:r>
        <w:rPr>
          <w:rFonts w:hint="default" w:ascii="Times New Roman" w:hAnsi="Times New Roman" w:eastAsia="仿宋_GB2312" w:cs="Times New Roman"/>
          <w:color w:val="auto"/>
          <w:sz w:val="32"/>
          <w:szCs w:val="32"/>
          <w:lang w:eastAsia="zh-CN"/>
        </w:rPr>
        <w:t>增强基层相关从业人员的防疫意识和技能水平，旨在扭转并持续降低宁夏人间和畜间布病发病率。本标准</w:t>
      </w:r>
      <w:r>
        <w:rPr>
          <w:rFonts w:hint="default" w:ascii="Times New Roman" w:hAnsi="Times New Roman" w:eastAsia="仿宋_GB2312" w:cs="Times New Roman"/>
          <w:color w:val="auto"/>
          <w:sz w:val="32"/>
          <w:szCs w:val="32"/>
          <w:lang w:val="en-US" w:eastAsia="zh-CN"/>
        </w:rPr>
        <w:t>正是</w:t>
      </w:r>
      <w:r>
        <w:rPr>
          <w:rFonts w:hint="default" w:ascii="Times New Roman" w:hAnsi="Times New Roman" w:eastAsia="仿宋_GB2312" w:cs="Times New Roman"/>
          <w:color w:val="auto"/>
          <w:sz w:val="32"/>
          <w:szCs w:val="32"/>
          <w:lang w:eastAsia="zh-CN"/>
        </w:rPr>
        <w:t>在</w:t>
      </w:r>
      <w:r>
        <w:rPr>
          <w:rFonts w:hint="default" w:ascii="Times New Roman" w:hAnsi="Times New Roman" w:eastAsia="仿宋_GB2312" w:cs="Times New Roman"/>
          <w:color w:val="auto"/>
          <w:sz w:val="32"/>
          <w:szCs w:val="32"/>
          <w:lang w:val="en-US" w:eastAsia="zh-CN"/>
        </w:rPr>
        <w:t>上述</w:t>
      </w:r>
      <w:r>
        <w:rPr>
          <w:rFonts w:hint="default" w:ascii="Times New Roman" w:hAnsi="Times New Roman" w:eastAsia="仿宋_GB2312" w:cs="Times New Roman"/>
          <w:color w:val="auto"/>
          <w:sz w:val="32"/>
          <w:szCs w:val="32"/>
          <w:lang w:eastAsia="zh-CN"/>
        </w:rPr>
        <w:t>基础上，通过调研、查阅资料、开展试验研究</w:t>
      </w:r>
      <w:r>
        <w:rPr>
          <w:rFonts w:hint="default" w:ascii="Times New Roman" w:hAnsi="Times New Roman" w:eastAsia="仿宋_GB2312" w:cs="Times New Roman"/>
          <w:color w:val="auto"/>
          <w:sz w:val="32"/>
          <w:szCs w:val="32"/>
          <w:lang w:val="en-US" w:eastAsia="zh-CN"/>
        </w:rPr>
        <w:t>后制定的</w:t>
      </w:r>
      <w:r>
        <w:rPr>
          <w:rFonts w:hint="default" w:ascii="Times New Roman" w:hAnsi="Times New Roman" w:eastAsia="仿宋_GB2312" w:cs="Times New Roman"/>
          <w:color w:val="auto"/>
          <w:sz w:val="32"/>
          <w:szCs w:val="32"/>
          <w:lang w:eastAsia="zh-CN"/>
        </w:rPr>
        <w:t>。</w:t>
      </w:r>
    </w:p>
    <w:p w14:paraId="4F6FCFE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目前，国内尚未</w:t>
      </w:r>
      <w:r>
        <w:rPr>
          <w:rFonts w:hint="default" w:ascii="Times New Roman" w:hAnsi="Times New Roman" w:eastAsia="仿宋_GB2312" w:cs="Times New Roman"/>
          <w:color w:val="auto"/>
          <w:sz w:val="32"/>
          <w:szCs w:val="32"/>
          <w:lang w:val="en-US" w:eastAsia="zh-CN"/>
        </w:rPr>
        <w:t>出台针对</w:t>
      </w:r>
      <w:r>
        <w:rPr>
          <w:rFonts w:hint="default" w:ascii="Times New Roman" w:hAnsi="Times New Roman" w:eastAsia="仿宋_GB2312" w:cs="Times New Roman"/>
          <w:color w:val="auto"/>
          <w:sz w:val="32"/>
          <w:szCs w:val="32"/>
          <w:lang w:eastAsia="zh-CN"/>
        </w:rPr>
        <w:t>牛羊布鲁氏菌病免疫操作技术的国家标准、行业标准。其他省份的</w:t>
      </w:r>
      <w:r>
        <w:rPr>
          <w:rFonts w:hint="default" w:ascii="Times New Roman" w:hAnsi="Times New Roman" w:eastAsia="仿宋_GB2312" w:cs="Times New Roman"/>
          <w:color w:val="auto"/>
          <w:sz w:val="32"/>
          <w:szCs w:val="32"/>
          <w:lang w:val="en-US" w:eastAsia="zh-CN"/>
        </w:rPr>
        <w:t>相关</w:t>
      </w:r>
      <w:r>
        <w:rPr>
          <w:rFonts w:hint="default" w:ascii="Times New Roman" w:hAnsi="Times New Roman" w:eastAsia="仿宋_GB2312" w:cs="Times New Roman"/>
          <w:color w:val="auto"/>
          <w:sz w:val="32"/>
          <w:szCs w:val="32"/>
          <w:lang w:eastAsia="zh-CN"/>
        </w:rPr>
        <w:t>地方标准，</w:t>
      </w:r>
      <w:r>
        <w:rPr>
          <w:rFonts w:hint="default" w:ascii="Times New Roman" w:hAnsi="Times New Roman" w:eastAsia="仿宋_GB2312" w:cs="Times New Roman"/>
          <w:color w:val="auto"/>
          <w:sz w:val="32"/>
          <w:szCs w:val="32"/>
          <w:lang w:val="en-US" w:eastAsia="zh-CN"/>
        </w:rPr>
        <w:t>要么</w:t>
      </w:r>
      <w:r>
        <w:rPr>
          <w:rFonts w:hint="default" w:ascii="Times New Roman" w:hAnsi="Times New Roman" w:eastAsia="仿宋_GB2312" w:cs="Times New Roman"/>
          <w:color w:val="auto"/>
          <w:sz w:val="32"/>
          <w:szCs w:val="32"/>
          <w:lang w:eastAsia="zh-CN"/>
        </w:rPr>
        <w:t>内容涉及面过</w:t>
      </w:r>
      <w:r>
        <w:rPr>
          <w:rFonts w:hint="default" w:ascii="Times New Roman" w:hAnsi="Times New Roman" w:eastAsia="仿宋_GB2312" w:cs="Times New Roman"/>
          <w:color w:val="auto"/>
          <w:sz w:val="32"/>
          <w:szCs w:val="32"/>
          <w:lang w:val="en-US" w:eastAsia="zh-CN"/>
        </w:rPr>
        <w:t>广</w:t>
      </w:r>
      <w:r>
        <w:rPr>
          <w:rFonts w:hint="default" w:ascii="Times New Roman" w:hAnsi="Times New Roman" w:eastAsia="仿宋_GB2312" w:cs="Times New Roman"/>
          <w:color w:val="auto"/>
          <w:sz w:val="32"/>
          <w:szCs w:val="32"/>
          <w:lang w:eastAsia="zh-CN"/>
        </w:rPr>
        <w:t>，无法</w:t>
      </w:r>
      <w:r>
        <w:rPr>
          <w:rFonts w:hint="default" w:ascii="Times New Roman" w:hAnsi="Times New Roman" w:eastAsia="仿宋_GB2312" w:cs="Times New Roman"/>
          <w:color w:val="auto"/>
          <w:sz w:val="32"/>
          <w:szCs w:val="32"/>
          <w:lang w:val="en-US" w:eastAsia="zh-CN"/>
        </w:rPr>
        <w:t>聚焦</w:t>
      </w:r>
      <w:r>
        <w:rPr>
          <w:rFonts w:hint="default" w:ascii="Times New Roman" w:hAnsi="Times New Roman" w:eastAsia="仿宋_GB2312" w:cs="Times New Roman"/>
          <w:color w:val="auto"/>
          <w:sz w:val="32"/>
          <w:szCs w:val="32"/>
          <w:lang w:eastAsia="zh-CN"/>
        </w:rPr>
        <w:t>免疫操作过程中面临的具体问题</w:t>
      </w:r>
      <w:r>
        <w:rPr>
          <w:rFonts w:hint="default" w:ascii="Times New Roman" w:hAnsi="Times New Roman" w:eastAsia="仿宋_GB2312" w:cs="Times New Roman"/>
          <w:color w:val="auto"/>
          <w:sz w:val="32"/>
          <w:szCs w:val="32"/>
          <w:lang w:val="en-US" w:eastAsia="zh-CN"/>
        </w:rPr>
        <w:t>展开</w:t>
      </w:r>
      <w:r>
        <w:rPr>
          <w:rFonts w:hint="default" w:ascii="Times New Roman" w:hAnsi="Times New Roman" w:eastAsia="仿宋_GB2312" w:cs="Times New Roman"/>
          <w:color w:val="auto"/>
          <w:sz w:val="32"/>
          <w:szCs w:val="32"/>
          <w:lang w:eastAsia="zh-CN"/>
        </w:rPr>
        <w:t>阐述；</w:t>
      </w:r>
      <w:r>
        <w:rPr>
          <w:rFonts w:hint="default" w:ascii="Times New Roman" w:hAnsi="Times New Roman" w:eastAsia="仿宋_GB2312" w:cs="Times New Roman"/>
          <w:color w:val="auto"/>
          <w:sz w:val="32"/>
          <w:szCs w:val="32"/>
          <w:lang w:val="en-US" w:eastAsia="zh-CN"/>
        </w:rPr>
        <w:t>要么</w:t>
      </w:r>
      <w:r>
        <w:rPr>
          <w:rFonts w:hint="default" w:ascii="Times New Roman" w:hAnsi="Times New Roman" w:eastAsia="仿宋_GB2312" w:cs="Times New Roman"/>
          <w:color w:val="auto"/>
          <w:sz w:val="32"/>
          <w:szCs w:val="32"/>
          <w:lang w:eastAsia="zh-CN"/>
        </w:rPr>
        <w:t>偏重于布病防控的单个方面，如布鲁氏菌的培养特性等理论知识、检测方法、对人体和家畜的危害等，缺乏</w:t>
      </w:r>
      <w:r>
        <w:rPr>
          <w:rFonts w:hint="default" w:ascii="Times New Roman" w:hAnsi="Times New Roman" w:eastAsia="仿宋_GB2312" w:cs="Times New Roman"/>
          <w:color w:val="auto"/>
          <w:sz w:val="32"/>
          <w:szCs w:val="32"/>
          <w:lang w:val="en-US" w:eastAsia="zh-CN"/>
        </w:rPr>
        <w:t>针对</w:t>
      </w:r>
      <w:r>
        <w:rPr>
          <w:rFonts w:hint="default" w:ascii="Times New Roman" w:hAnsi="Times New Roman" w:eastAsia="仿宋_GB2312" w:cs="Times New Roman"/>
          <w:color w:val="auto"/>
          <w:sz w:val="32"/>
          <w:szCs w:val="32"/>
          <w:lang w:eastAsia="zh-CN"/>
        </w:rPr>
        <w:t>基层养殖场户或动物防疫员开展布鲁氏菌病免疫操作中的</w:t>
      </w:r>
      <w:r>
        <w:rPr>
          <w:rFonts w:hint="default" w:ascii="Times New Roman" w:hAnsi="Times New Roman" w:eastAsia="仿宋_GB2312" w:cs="Times New Roman"/>
          <w:color w:val="auto"/>
          <w:sz w:val="32"/>
          <w:szCs w:val="32"/>
          <w:lang w:val="en-US" w:eastAsia="zh-CN"/>
        </w:rPr>
        <w:t>具体</w:t>
      </w:r>
      <w:r>
        <w:rPr>
          <w:rFonts w:hint="default" w:ascii="Times New Roman" w:hAnsi="Times New Roman" w:eastAsia="仿宋_GB2312" w:cs="Times New Roman"/>
          <w:color w:val="auto"/>
          <w:sz w:val="32"/>
          <w:szCs w:val="32"/>
          <w:lang w:eastAsia="zh-CN"/>
        </w:rPr>
        <w:t>技术管理规范。因此，制</w:t>
      </w:r>
      <w:r>
        <w:rPr>
          <w:rFonts w:hint="default" w:ascii="Times New Roman" w:hAnsi="Times New Roman" w:eastAsia="仿宋_GB2312" w:cs="Times New Roman"/>
          <w:color w:val="auto"/>
          <w:sz w:val="32"/>
          <w:szCs w:val="32"/>
          <w:lang w:val="en-US" w:eastAsia="zh-CN"/>
        </w:rPr>
        <w:t>定</w:t>
      </w:r>
      <w:r>
        <w:rPr>
          <w:rFonts w:hint="default" w:ascii="Times New Roman" w:hAnsi="Times New Roman" w:eastAsia="仿宋_GB2312" w:cs="Times New Roman"/>
          <w:color w:val="auto"/>
          <w:sz w:val="32"/>
          <w:szCs w:val="32"/>
          <w:lang w:eastAsia="zh-CN"/>
        </w:rPr>
        <w:t>并实施</w:t>
      </w:r>
      <w:r>
        <w:rPr>
          <w:rFonts w:hint="default" w:ascii="Times New Roman" w:hAnsi="Times New Roman" w:eastAsia="仿宋_GB2312" w:cs="Times New Roman"/>
          <w:color w:val="auto"/>
          <w:sz w:val="32"/>
          <w:szCs w:val="32"/>
          <w:lang w:val="en-US" w:eastAsia="zh-CN"/>
        </w:rPr>
        <w:t>宁夏</w:t>
      </w:r>
      <w:r>
        <w:rPr>
          <w:rFonts w:hint="default" w:ascii="Times New Roman" w:hAnsi="Times New Roman" w:eastAsia="仿宋_GB2312" w:cs="Times New Roman"/>
          <w:color w:val="auto"/>
          <w:sz w:val="32"/>
          <w:szCs w:val="32"/>
          <w:lang w:eastAsia="zh-CN"/>
        </w:rPr>
        <w:t>《牛羊布鲁氏菌病免疫操作技术规范》，</w:t>
      </w:r>
      <w:r>
        <w:rPr>
          <w:rFonts w:hint="default" w:ascii="Times New Roman" w:hAnsi="Times New Roman" w:eastAsia="仿宋_GB2312" w:cs="Times New Roman"/>
          <w:color w:val="auto"/>
          <w:sz w:val="32"/>
          <w:szCs w:val="32"/>
          <w:lang w:val="en-US" w:eastAsia="zh-CN"/>
        </w:rPr>
        <w:t>对于</w:t>
      </w:r>
      <w:r>
        <w:rPr>
          <w:rFonts w:hint="default" w:ascii="Times New Roman" w:hAnsi="Times New Roman" w:eastAsia="仿宋_GB2312" w:cs="Times New Roman"/>
          <w:color w:val="auto"/>
          <w:sz w:val="32"/>
          <w:szCs w:val="32"/>
          <w:lang w:eastAsia="zh-CN"/>
        </w:rPr>
        <w:t>提升牛羊布鲁氏菌病防控能力，推动</w:t>
      </w:r>
      <w:r>
        <w:rPr>
          <w:rFonts w:hint="eastAsia" w:ascii="Times New Roman" w:hAnsi="Times New Roman" w:eastAsia="仿宋_GB2312" w:cs="Times New Roman"/>
          <w:color w:val="auto"/>
          <w:sz w:val="32"/>
          <w:szCs w:val="32"/>
          <w:lang w:val="en-US" w:eastAsia="zh-CN"/>
        </w:rPr>
        <w:t>宁夏畜牧</w:t>
      </w:r>
      <w:r>
        <w:rPr>
          <w:rFonts w:hint="default" w:ascii="Times New Roman" w:hAnsi="Times New Roman" w:eastAsia="仿宋_GB2312" w:cs="Times New Roman"/>
          <w:color w:val="auto"/>
          <w:sz w:val="32"/>
          <w:szCs w:val="32"/>
          <w:lang w:eastAsia="zh-CN"/>
        </w:rPr>
        <w:t>产业高质量发展，维护产业生产安全具有</w:t>
      </w:r>
      <w:r>
        <w:rPr>
          <w:rFonts w:hint="default" w:ascii="Times New Roman" w:hAnsi="Times New Roman" w:eastAsia="仿宋_GB2312" w:cs="Times New Roman"/>
          <w:color w:val="auto"/>
          <w:sz w:val="32"/>
          <w:szCs w:val="32"/>
          <w:lang w:val="en-US" w:eastAsia="zh-CN"/>
        </w:rPr>
        <w:t>至关</w:t>
      </w:r>
      <w:r>
        <w:rPr>
          <w:rFonts w:hint="default" w:ascii="Times New Roman" w:hAnsi="Times New Roman" w:eastAsia="仿宋_GB2312" w:cs="Times New Roman"/>
          <w:color w:val="auto"/>
          <w:sz w:val="32"/>
          <w:szCs w:val="32"/>
          <w:lang w:eastAsia="zh-CN"/>
        </w:rPr>
        <w:t>重要的意义。</w:t>
      </w:r>
    </w:p>
    <w:p w14:paraId="4A671B8B">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eastAsia" w:ascii="国标黑体" w:hAnsi="国标黑体" w:eastAsia="国标黑体" w:cs="国标黑体"/>
          <w:color w:val="auto"/>
          <w:sz w:val="32"/>
          <w:szCs w:val="32"/>
        </w:rPr>
      </w:pPr>
      <w:bookmarkStart w:id="7" w:name="_Toc9638"/>
      <w:r>
        <w:rPr>
          <w:rFonts w:hint="eastAsia" w:ascii="国标黑体" w:hAnsi="国标黑体" w:eastAsia="国标黑体" w:cs="国标黑体"/>
          <w:color w:val="auto"/>
          <w:sz w:val="32"/>
          <w:szCs w:val="32"/>
        </w:rPr>
        <w:t>三、主要起草过程</w:t>
      </w:r>
      <w:bookmarkEnd w:id="7"/>
    </w:p>
    <w:p w14:paraId="218699A0">
      <w:pPr>
        <w:keepNext w:val="0"/>
        <w:keepLines w:val="0"/>
        <w:pageBreakBefore w:val="0"/>
        <w:kinsoku/>
        <w:wordWrap/>
        <w:overflowPunct/>
        <w:topLinePunct w:val="0"/>
        <w:autoSpaceDE/>
        <w:autoSpaceDN/>
        <w:bidi w:val="0"/>
        <w:adjustRightInd/>
        <w:snapToGrid/>
        <w:spacing w:line="600" w:lineRule="exact"/>
        <w:ind w:firstLine="643" w:firstLineChars="200"/>
        <w:textAlignment w:val="auto"/>
        <w:outlineLvl w:val="1"/>
        <w:rPr>
          <w:rFonts w:hint="eastAsia" w:ascii="楷体_GB2312" w:hAnsi="楷体_GB2312" w:eastAsia="楷体_GB2312" w:cs="楷体_GB2312"/>
          <w:b/>
          <w:bCs/>
          <w:color w:val="auto"/>
          <w:sz w:val="32"/>
          <w:szCs w:val="32"/>
        </w:rPr>
      </w:pPr>
      <w:bookmarkStart w:id="8" w:name="_Toc14182"/>
      <w:r>
        <w:rPr>
          <w:rFonts w:hint="eastAsia" w:ascii="楷体_GB2312" w:hAnsi="楷体_GB2312" w:eastAsia="楷体_GB2312" w:cs="楷体_GB2312"/>
          <w:b/>
          <w:bCs/>
          <w:color w:val="auto"/>
          <w:sz w:val="32"/>
          <w:szCs w:val="32"/>
        </w:rPr>
        <w:t>（一）成立起草组、确定分工</w:t>
      </w:r>
      <w:bookmarkEnd w:id="8"/>
    </w:p>
    <w:p w14:paraId="44C95B0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2024年12月，</w:t>
      </w:r>
      <w:r>
        <w:rPr>
          <w:rFonts w:hint="default" w:ascii="Times New Roman" w:hAnsi="Times New Roman" w:eastAsia="仿宋_GB2312" w:cs="Times New Roman"/>
          <w:color w:val="auto"/>
          <w:sz w:val="32"/>
          <w:szCs w:val="32"/>
        </w:rPr>
        <w:t>宁夏回族自治区动物疾病预防控制中心</w:t>
      </w:r>
      <w:r>
        <w:rPr>
          <w:rFonts w:hint="eastAsia" w:ascii="Times New Roman" w:hAnsi="Times New Roman" w:eastAsia="仿宋_GB2312" w:cs="Times New Roman"/>
          <w:color w:val="auto"/>
          <w:sz w:val="32"/>
          <w:szCs w:val="32"/>
          <w:lang w:eastAsia="zh-CN"/>
        </w:rPr>
        <w:t>申请了地方标准立项，并同期</w:t>
      </w:r>
      <w:r>
        <w:rPr>
          <w:rFonts w:hint="default" w:ascii="Times New Roman" w:hAnsi="Times New Roman" w:eastAsia="仿宋_GB2312" w:cs="Times New Roman"/>
          <w:color w:val="auto"/>
          <w:sz w:val="32"/>
          <w:szCs w:val="32"/>
          <w:lang w:eastAsia="zh-CN"/>
        </w:rPr>
        <w:t>组建了</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牛羊布鲁氏菌病免疫操作技术规范</w:t>
      </w:r>
      <w:r>
        <w:rPr>
          <w:rFonts w:hint="default" w:ascii="Times New Roman" w:hAnsi="Times New Roman" w:eastAsia="仿宋_GB2312" w:cs="Times New Roman"/>
          <w:color w:val="auto"/>
          <w:sz w:val="32"/>
          <w:szCs w:val="32"/>
        </w:rPr>
        <w:t>》标准编制起草组</w:t>
      </w:r>
      <w:r>
        <w:rPr>
          <w:rFonts w:hint="default" w:ascii="Times New Roman" w:hAnsi="Times New Roman" w:eastAsia="仿宋_GB2312" w:cs="Times New Roman"/>
          <w:color w:val="auto"/>
          <w:sz w:val="32"/>
          <w:szCs w:val="32"/>
          <w:lang w:eastAsia="zh-CN"/>
        </w:rPr>
        <w:t>。起草组由相关领域专家和技术骨干构成，并明确了项目负责人、执笔人、资料收集与整理、调研协调、试验验证等具体分工，为标准编制工作提供坚实的组织保障。</w:t>
      </w:r>
    </w:p>
    <w:p w14:paraId="2FE4224D">
      <w:pPr>
        <w:keepNext w:val="0"/>
        <w:keepLines w:val="0"/>
        <w:pageBreakBefore w:val="0"/>
        <w:kinsoku/>
        <w:wordWrap/>
        <w:overflowPunct/>
        <w:topLinePunct w:val="0"/>
        <w:autoSpaceDE/>
        <w:autoSpaceDN/>
        <w:bidi w:val="0"/>
        <w:adjustRightInd/>
        <w:snapToGrid/>
        <w:spacing w:line="600" w:lineRule="exact"/>
        <w:ind w:firstLine="643" w:firstLineChars="200"/>
        <w:textAlignment w:val="auto"/>
        <w:outlineLvl w:val="1"/>
        <w:rPr>
          <w:rFonts w:hint="eastAsia" w:ascii="楷体_GB2312" w:hAnsi="楷体_GB2312" w:eastAsia="楷体_GB2312" w:cs="楷体_GB2312"/>
          <w:b/>
          <w:bCs/>
          <w:color w:val="auto"/>
          <w:sz w:val="32"/>
          <w:szCs w:val="32"/>
          <w:lang w:eastAsia="zh-CN"/>
        </w:rPr>
      </w:pPr>
      <w:bookmarkStart w:id="9" w:name="_Toc29116"/>
      <w:r>
        <w:rPr>
          <w:rFonts w:hint="eastAsia" w:ascii="楷体_GB2312" w:hAnsi="楷体_GB2312" w:eastAsia="楷体_GB2312" w:cs="楷体_GB2312"/>
          <w:b/>
          <w:bCs/>
          <w:color w:val="auto"/>
          <w:sz w:val="32"/>
          <w:szCs w:val="32"/>
        </w:rPr>
        <w:t>（二）</w:t>
      </w:r>
      <w:r>
        <w:rPr>
          <w:rFonts w:hint="eastAsia" w:ascii="楷体_GB2312" w:hAnsi="楷体_GB2312" w:eastAsia="楷体_GB2312" w:cs="楷体_GB2312"/>
          <w:b/>
          <w:bCs/>
          <w:color w:val="auto"/>
          <w:sz w:val="32"/>
          <w:szCs w:val="32"/>
          <w:lang w:eastAsia="zh-CN"/>
        </w:rPr>
        <w:t>全面</w:t>
      </w:r>
      <w:r>
        <w:rPr>
          <w:rFonts w:hint="eastAsia" w:ascii="楷体_GB2312" w:hAnsi="楷体_GB2312" w:eastAsia="楷体_GB2312" w:cs="楷体_GB2312"/>
          <w:b/>
          <w:bCs/>
          <w:color w:val="auto"/>
          <w:sz w:val="32"/>
          <w:szCs w:val="32"/>
        </w:rPr>
        <w:t>收集资料</w:t>
      </w:r>
      <w:bookmarkEnd w:id="9"/>
      <w:r>
        <w:rPr>
          <w:rFonts w:hint="eastAsia" w:ascii="楷体_GB2312" w:hAnsi="楷体_GB2312" w:eastAsia="楷体_GB2312" w:cs="楷体_GB2312"/>
          <w:b/>
          <w:bCs/>
          <w:color w:val="auto"/>
          <w:sz w:val="32"/>
          <w:szCs w:val="32"/>
          <w:lang w:eastAsia="zh-CN"/>
        </w:rPr>
        <w:t>并开展实地调研</w:t>
      </w:r>
    </w:p>
    <w:p w14:paraId="6D6027B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highlight w:val="none"/>
          <w:lang w:val="en-US" w:eastAsia="zh-CN"/>
        </w:rPr>
        <w:t>2025年</w:t>
      </w: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月～</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月，起草组系统收集了与牛羊布鲁氏菌病免疫相关的国家及地方法律法规、政策文件</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国内外检测标准及科学文献等</w:t>
      </w:r>
      <w:r>
        <w:rPr>
          <w:rFonts w:hint="eastAsia" w:ascii="Times New Roman" w:hAnsi="Times New Roman" w:eastAsia="仿宋_GB2312" w:cs="Times New Roman"/>
          <w:color w:val="auto"/>
          <w:sz w:val="32"/>
          <w:szCs w:val="32"/>
          <w:highlight w:val="none"/>
          <w:lang w:val="en-US" w:eastAsia="zh-CN"/>
        </w:rPr>
        <w:t>；全面总结了区内</w:t>
      </w:r>
      <w:r>
        <w:rPr>
          <w:rFonts w:hint="default" w:ascii="Times New Roman" w:hAnsi="Times New Roman" w:eastAsia="仿宋_GB2312" w:cs="Times New Roman"/>
          <w:color w:val="auto"/>
          <w:sz w:val="32"/>
          <w:szCs w:val="32"/>
          <w:highlight w:val="none"/>
          <w:lang w:val="en-US" w:eastAsia="zh-CN"/>
        </w:rPr>
        <w:t>106个牛羊养殖场户和5个</w:t>
      </w:r>
      <w:r>
        <w:rPr>
          <w:rFonts w:hint="eastAsia" w:ascii="Times New Roman" w:hAnsi="Times New Roman" w:eastAsia="仿宋_GB2312" w:cs="Times New Roman"/>
          <w:color w:val="auto"/>
          <w:sz w:val="32"/>
          <w:szCs w:val="32"/>
          <w:highlight w:val="none"/>
          <w:lang w:val="en-US" w:eastAsia="zh-CN"/>
        </w:rPr>
        <w:t>兽医</w:t>
      </w:r>
      <w:r>
        <w:rPr>
          <w:rFonts w:hint="default" w:ascii="Times New Roman" w:hAnsi="Times New Roman" w:eastAsia="仿宋_GB2312" w:cs="Times New Roman"/>
          <w:color w:val="auto"/>
          <w:sz w:val="32"/>
          <w:szCs w:val="32"/>
          <w:highlight w:val="none"/>
          <w:lang w:val="en-US" w:eastAsia="zh-CN"/>
        </w:rPr>
        <w:t>社会化服务组织在牛羊布鲁氏菌病免疫操作过程中的经验和行之有效的技术措施。</w:t>
      </w:r>
      <w:r>
        <w:rPr>
          <w:rFonts w:hint="default" w:ascii="Times New Roman" w:hAnsi="Times New Roman" w:eastAsia="仿宋_GB2312" w:cs="Times New Roman"/>
          <w:color w:val="auto"/>
          <w:kern w:val="2"/>
          <w:sz w:val="32"/>
          <w:szCs w:val="32"/>
          <w:lang w:val="en-US" w:eastAsia="zh-CN" w:bidi="ar-SA"/>
        </w:rPr>
        <w:t>通过对这些资料的深入学习与研究，为标准草案的编制奠定了坚实的理论与政策基础。</w:t>
      </w:r>
    </w:p>
    <w:p w14:paraId="014A80E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highlight w:val="none"/>
        </w:rPr>
        <w:t>202</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color w:val="auto"/>
          <w:sz w:val="32"/>
          <w:szCs w:val="32"/>
          <w:highlight w:val="none"/>
          <w:lang w:val="en-US" w:eastAsia="zh-CN"/>
        </w:rPr>
        <w:t>3月~</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eastAsia="zh-CN"/>
        </w:rPr>
        <w:t>起草组深入</w:t>
      </w:r>
      <w:r>
        <w:rPr>
          <w:rFonts w:hint="default" w:ascii="Times New Roman" w:hAnsi="Times New Roman" w:eastAsia="仿宋_GB2312" w:cs="Times New Roman"/>
          <w:color w:val="auto"/>
          <w:sz w:val="32"/>
          <w:szCs w:val="32"/>
          <w:highlight w:val="none"/>
        </w:rPr>
        <w:t>调研全区牛羊养殖场</w:t>
      </w:r>
      <w:r>
        <w:rPr>
          <w:rFonts w:hint="eastAsia" w:ascii="Times New Roman" w:hAnsi="Times New Roman" w:eastAsia="仿宋_GB2312" w:cs="Times New Roman"/>
          <w:color w:val="auto"/>
          <w:sz w:val="32"/>
          <w:szCs w:val="32"/>
          <w:highlight w:val="none"/>
          <w:lang w:val="en-US" w:eastAsia="zh-CN"/>
        </w:rPr>
        <w:t>户</w:t>
      </w:r>
      <w:r>
        <w:rPr>
          <w:rFonts w:hint="default" w:ascii="Times New Roman" w:hAnsi="Times New Roman" w:eastAsia="仿宋_GB2312" w:cs="Times New Roman"/>
          <w:color w:val="auto"/>
          <w:sz w:val="32"/>
          <w:szCs w:val="32"/>
          <w:highlight w:val="none"/>
        </w:rPr>
        <w:t>和</w:t>
      </w:r>
      <w:r>
        <w:rPr>
          <w:rFonts w:hint="eastAsia" w:ascii="Times New Roman" w:hAnsi="Times New Roman" w:eastAsia="仿宋_GB2312" w:cs="Times New Roman"/>
          <w:color w:val="auto"/>
          <w:sz w:val="32"/>
          <w:szCs w:val="32"/>
          <w:highlight w:val="none"/>
          <w:lang w:val="en-US" w:eastAsia="zh-CN"/>
        </w:rPr>
        <w:t>兽医</w:t>
      </w:r>
      <w:r>
        <w:rPr>
          <w:rFonts w:hint="default" w:ascii="Times New Roman" w:hAnsi="Times New Roman" w:eastAsia="仿宋_GB2312" w:cs="Times New Roman"/>
          <w:color w:val="auto"/>
          <w:sz w:val="32"/>
          <w:szCs w:val="32"/>
          <w:highlight w:val="none"/>
        </w:rPr>
        <w:t>社会化服务组织现状</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主要调查摸清了</w:t>
      </w:r>
      <w:r>
        <w:rPr>
          <w:rFonts w:hint="default" w:ascii="Times New Roman" w:hAnsi="Times New Roman" w:eastAsia="仿宋_GB2312" w:cs="Times New Roman"/>
          <w:color w:val="auto"/>
          <w:sz w:val="32"/>
          <w:szCs w:val="32"/>
          <w:highlight w:val="none"/>
          <w:lang w:eastAsia="zh-CN"/>
        </w:rPr>
        <w:t>牛羊布鲁氏菌病防控在</w:t>
      </w:r>
      <w:r>
        <w:rPr>
          <w:rFonts w:hint="default" w:ascii="Times New Roman" w:hAnsi="Times New Roman" w:eastAsia="仿宋_GB2312" w:cs="Times New Roman"/>
          <w:color w:val="auto"/>
          <w:sz w:val="32"/>
          <w:szCs w:val="32"/>
          <w:highlight w:val="none"/>
        </w:rPr>
        <w:t>全区</w:t>
      </w:r>
      <w:r>
        <w:rPr>
          <w:rFonts w:hint="default" w:ascii="Times New Roman" w:hAnsi="Times New Roman" w:eastAsia="仿宋_GB2312" w:cs="Times New Roman"/>
          <w:color w:val="auto"/>
          <w:sz w:val="32"/>
          <w:szCs w:val="32"/>
          <w:highlight w:val="none"/>
          <w:lang w:eastAsia="zh-CN"/>
        </w:rPr>
        <w:t>牛羊</w:t>
      </w:r>
      <w:r>
        <w:rPr>
          <w:rFonts w:hint="default" w:ascii="Times New Roman" w:hAnsi="Times New Roman" w:eastAsia="仿宋_GB2312" w:cs="Times New Roman"/>
          <w:color w:val="auto"/>
          <w:sz w:val="32"/>
          <w:szCs w:val="32"/>
          <w:highlight w:val="none"/>
        </w:rPr>
        <w:t>养殖产业发展</w:t>
      </w:r>
      <w:r>
        <w:rPr>
          <w:rFonts w:hint="default" w:ascii="Times New Roman" w:hAnsi="Times New Roman" w:eastAsia="仿宋_GB2312" w:cs="Times New Roman"/>
          <w:color w:val="auto"/>
          <w:sz w:val="32"/>
          <w:szCs w:val="32"/>
          <w:highlight w:val="none"/>
          <w:lang w:eastAsia="zh-CN"/>
        </w:rPr>
        <w:t>中的</w:t>
      </w:r>
      <w:r>
        <w:rPr>
          <w:rFonts w:hint="default" w:ascii="Times New Roman" w:hAnsi="Times New Roman" w:eastAsia="仿宋_GB2312" w:cs="Times New Roman"/>
          <w:color w:val="auto"/>
          <w:sz w:val="32"/>
          <w:szCs w:val="32"/>
          <w:highlight w:val="none"/>
        </w:rPr>
        <w:t>现状，基本掌握了</w:t>
      </w:r>
      <w:r>
        <w:rPr>
          <w:rFonts w:hint="default" w:ascii="Times New Roman" w:hAnsi="Times New Roman" w:eastAsia="仿宋_GB2312" w:cs="Times New Roman"/>
          <w:color w:val="auto"/>
          <w:sz w:val="32"/>
          <w:szCs w:val="32"/>
          <w:highlight w:val="none"/>
          <w:lang w:eastAsia="zh-CN"/>
        </w:rPr>
        <w:t>操作不规范、疫苗选择不科</w:t>
      </w:r>
      <w:r>
        <w:rPr>
          <w:rFonts w:hint="default" w:ascii="Times New Roman" w:hAnsi="Times New Roman" w:eastAsia="仿宋_GB2312" w:cs="Times New Roman"/>
          <w:color w:val="auto"/>
          <w:sz w:val="32"/>
          <w:szCs w:val="32"/>
          <w:lang w:eastAsia="zh-CN"/>
        </w:rPr>
        <w:t>学、防疫意识薄弱</w:t>
      </w:r>
      <w:r>
        <w:rPr>
          <w:rFonts w:hint="default" w:ascii="Times New Roman" w:hAnsi="Times New Roman" w:eastAsia="仿宋_GB2312" w:cs="Times New Roman"/>
          <w:color w:val="auto"/>
          <w:sz w:val="32"/>
          <w:szCs w:val="32"/>
        </w:rPr>
        <w:t>等问题</w:t>
      </w:r>
      <w:r>
        <w:rPr>
          <w:rFonts w:hint="eastAsia" w:ascii="Times New Roman" w:hAnsi="Times New Roman" w:eastAsia="仿宋_GB2312" w:cs="Times New Roman"/>
          <w:color w:val="auto"/>
          <w:sz w:val="32"/>
          <w:szCs w:val="32"/>
          <w:lang w:eastAsia="zh-CN"/>
        </w:rPr>
        <w:t>，并广泛听取了牛羊养殖场户、兽医社会化服务组织以及基层动物疾控机构相关人员的意见建议，为确保标准内容切合实际、可操作性强奠定基础</w:t>
      </w:r>
      <w:r>
        <w:rPr>
          <w:rFonts w:hint="default" w:ascii="Times New Roman" w:hAnsi="Times New Roman" w:eastAsia="仿宋_GB2312" w:cs="Times New Roman"/>
          <w:color w:val="auto"/>
          <w:sz w:val="32"/>
          <w:szCs w:val="32"/>
        </w:rPr>
        <w:t>。</w:t>
      </w:r>
    </w:p>
    <w:p w14:paraId="5F1C58EA">
      <w:pPr>
        <w:keepNext w:val="0"/>
        <w:keepLines w:val="0"/>
        <w:pageBreakBefore w:val="0"/>
        <w:kinsoku/>
        <w:wordWrap/>
        <w:overflowPunct/>
        <w:topLinePunct w:val="0"/>
        <w:autoSpaceDE/>
        <w:autoSpaceDN/>
        <w:bidi w:val="0"/>
        <w:adjustRightInd/>
        <w:snapToGrid/>
        <w:spacing w:line="600" w:lineRule="exact"/>
        <w:ind w:firstLine="643" w:firstLineChars="200"/>
        <w:textAlignment w:val="auto"/>
        <w:outlineLvl w:val="1"/>
        <w:rPr>
          <w:rFonts w:hint="eastAsia" w:ascii="楷体_GB2312" w:hAnsi="楷体_GB2312" w:eastAsia="楷体_GB2312" w:cs="楷体_GB2312"/>
          <w:b/>
          <w:bCs/>
          <w:color w:val="auto"/>
          <w:sz w:val="32"/>
          <w:szCs w:val="32"/>
        </w:rPr>
      </w:pPr>
      <w:bookmarkStart w:id="10" w:name="_Toc22120"/>
      <w:r>
        <w:rPr>
          <w:rFonts w:hint="eastAsia" w:ascii="楷体_GB2312" w:hAnsi="楷体_GB2312" w:eastAsia="楷体_GB2312" w:cs="楷体_GB2312"/>
          <w:b/>
          <w:bCs/>
          <w:color w:val="auto"/>
          <w:sz w:val="32"/>
          <w:szCs w:val="32"/>
        </w:rPr>
        <w:t>（三）编制</w:t>
      </w:r>
      <w:r>
        <w:rPr>
          <w:rFonts w:hint="eastAsia" w:ascii="楷体_GB2312" w:hAnsi="楷体_GB2312" w:eastAsia="楷体_GB2312" w:cs="楷体_GB2312"/>
          <w:b/>
          <w:bCs/>
          <w:color w:val="auto"/>
          <w:sz w:val="32"/>
          <w:szCs w:val="32"/>
          <w:lang w:eastAsia="zh-CN"/>
        </w:rPr>
        <w:t>并完善</w:t>
      </w:r>
      <w:r>
        <w:rPr>
          <w:rFonts w:hint="eastAsia" w:ascii="楷体_GB2312" w:hAnsi="楷体_GB2312" w:eastAsia="楷体_GB2312" w:cs="楷体_GB2312"/>
          <w:b/>
          <w:bCs/>
          <w:color w:val="auto"/>
          <w:sz w:val="32"/>
          <w:szCs w:val="32"/>
        </w:rPr>
        <w:t>标准草案</w:t>
      </w:r>
      <w:bookmarkEnd w:id="10"/>
    </w:p>
    <w:p w14:paraId="325B220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highlight w:val="none"/>
        </w:rPr>
        <w:t>202</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月</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lang w:eastAsia="zh-CN"/>
        </w:rPr>
        <w:t>起草组在</w:t>
      </w:r>
      <w:r>
        <w:rPr>
          <w:rFonts w:hint="default" w:ascii="Times New Roman" w:hAnsi="Times New Roman" w:eastAsia="仿宋_GB2312" w:cs="Times New Roman"/>
          <w:kern w:val="2"/>
          <w:sz w:val="32"/>
          <w:szCs w:val="32"/>
          <w:lang w:val="en-US" w:eastAsia="zh-CN" w:bidi="ar-SA"/>
        </w:rPr>
        <w:t>充分收集资料和充分调研基础上，</w:t>
      </w:r>
      <w:r>
        <w:rPr>
          <w:rFonts w:hint="default" w:ascii="Times New Roman" w:hAnsi="Times New Roman" w:eastAsia="仿宋_GB2312" w:cs="Times New Roman"/>
          <w:color w:val="auto"/>
          <w:sz w:val="32"/>
          <w:szCs w:val="32"/>
        </w:rPr>
        <w:t>确定</w:t>
      </w:r>
      <w:r>
        <w:rPr>
          <w:rFonts w:hint="eastAsia" w:ascii="Times New Roman" w:hAnsi="Times New Roman" w:eastAsia="仿宋_GB2312" w:cs="Times New Roman"/>
          <w:color w:val="auto"/>
          <w:sz w:val="32"/>
          <w:szCs w:val="32"/>
          <w:lang w:eastAsia="zh-CN"/>
        </w:rPr>
        <w:t>了</w:t>
      </w:r>
      <w:r>
        <w:rPr>
          <w:rFonts w:hint="default" w:ascii="Times New Roman" w:hAnsi="Times New Roman" w:eastAsia="仿宋_GB2312" w:cs="Times New Roman"/>
          <w:color w:val="auto"/>
          <w:sz w:val="32"/>
          <w:szCs w:val="32"/>
        </w:rPr>
        <w:t>标准框架和主要</w:t>
      </w:r>
      <w:r>
        <w:rPr>
          <w:rFonts w:hint="eastAsia" w:ascii="Times New Roman" w:hAnsi="Times New Roman" w:eastAsia="仿宋_GB2312" w:cs="Times New Roman"/>
          <w:color w:val="auto"/>
          <w:sz w:val="32"/>
          <w:szCs w:val="32"/>
          <w:lang w:eastAsia="zh-CN"/>
        </w:rPr>
        <w:t>技术</w:t>
      </w:r>
      <w:r>
        <w:rPr>
          <w:rFonts w:hint="default" w:ascii="Times New Roman" w:hAnsi="Times New Roman" w:eastAsia="仿宋_GB2312" w:cs="Times New Roman"/>
          <w:color w:val="auto"/>
          <w:sz w:val="32"/>
          <w:szCs w:val="32"/>
        </w:rPr>
        <w:t>内容，</w:t>
      </w:r>
      <w:r>
        <w:rPr>
          <w:rFonts w:hint="eastAsia" w:ascii="Times New Roman" w:hAnsi="Times New Roman" w:eastAsia="仿宋_GB2312" w:cs="Times New Roman"/>
          <w:color w:val="auto"/>
          <w:sz w:val="32"/>
          <w:szCs w:val="32"/>
          <w:lang w:eastAsia="zh-CN"/>
        </w:rPr>
        <w:t>并</w:t>
      </w:r>
      <w:r>
        <w:rPr>
          <w:rFonts w:hint="default" w:ascii="Times New Roman" w:hAnsi="Times New Roman" w:eastAsia="仿宋_GB2312" w:cs="Times New Roman"/>
          <w:color w:val="auto"/>
          <w:sz w:val="32"/>
          <w:szCs w:val="32"/>
        </w:rPr>
        <w:t>按</w:t>
      </w:r>
      <w:r>
        <w:rPr>
          <w:rFonts w:hint="eastAsia" w:ascii="Times New Roman" w:hAnsi="Times New Roman" w:eastAsia="仿宋_GB2312" w:cs="Times New Roman"/>
          <w:color w:val="auto"/>
          <w:sz w:val="32"/>
          <w:szCs w:val="32"/>
          <w:lang w:eastAsia="zh-CN"/>
        </w:rPr>
        <w:t>照</w:t>
      </w:r>
      <w:r>
        <w:rPr>
          <w:rFonts w:hint="default" w:ascii="Times New Roman" w:hAnsi="Times New Roman" w:eastAsia="仿宋_GB2312" w:cs="Times New Roman"/>
          <w:color w:val="auto"/>
          <w:sz w:val="32"/>
          <w:szCs w:val="32"/>
        </w:rPr>
        <w:t xml:space="preserve"> GB/T 1.1—2020 《标准化工作导则第 1 部分：标准化文件的结构和起草规则》要求，编制</w:t>
      </w:r>
      <w:r>
        <w:rPr>
          <w:rFonts w:hint="eastAsia" w:ascii="Times New Roman" w:hAnsi="Times New Roman" w:eastAsia="仿宋_GB2312" w:cs="Times New Roman"/>
          <w:color w:val="auto"/>
          <w:sz w:val="32"/>
          <w:szCs w:val="32"/>
          <w:lang w:eastAsia="zh-CN"/>
        </w:rPr>
        <w:t>完成了</w:t>
      </w:r>
      <w:r>
        <w:rPr>
          <w:rFonts w:hint="default" w:ascii="Times New Roman" w:hAnsi="Times New Roman" w:eastAsia="仿宋_GB2312" w:cs="Times New Roman"/>
          <w:kern w:val="2"/>
          <w:sz w:val="32"/>
          <w:szCs w:val="32"/>
          <w:lang w:val="en-US" w:eastAsia="zh-CN" w:bidi="ar-SA"/>
        </w:rPr>
        <w:t>标准</w:t>
      </w:r>
      <w:r>
        <w:rPr>
          <w:rFonts w:hint="eastAsia" w:ascii="Times New Roman" w:hAnsi="Times New Roman" w:eastAsia="仿宋_GB2312" w:cs="Times New Roman"/>
          <w:kern w:val="2"/>
          <w:sz w:val="32"/>
          <w:szCs w:val="32"/>
          <w:lang w:val="en-US" w:eastAsia="zh-CN" w:bidi="ar-SA"/>
        </w:rPr>
        <w:t>文本（草</w:t>
      </w:r>
      <w:r>
        <w:rPr>
          <w:rFonts w:hint="default" w:ascii="Times New Roman" w:hAnsi="Times New Roman" w:eastAsia="仿宋_GB2312" w:cs="Times New Roman"/>
          <w:kern w:val="2"/>
          <w:sz w:val="32"/>
          <w:szCs w:val="32"/>
          <w:lang w:val="en-US" w:eastAsia="zh-CN" w:bidi="ar-SA"/>
        </w:rPr>
        <w:t>稿</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的撰写，并进一步修改完善，</w:t>
      </w:r>
      <w:r>
        <w:rPr>
          <w:rFonts w:hint="default" w:ascii="Times New Roman" w:hAnsi="Times New Roman" w:eastAsia="仿宋_GB2312" w:cs="Times New Roman"/>
          <w:color w:val="auto"/>
          <w:sz w:val="32"/>
          <w:szCs w:val="32"/>
        </w:rPr>
        <w:t>形成</w:t>
      </w:r>
      <w:r>
        <w:rPr>
          <w:rFonts w:hint="eastAsia" w:ascii="Times New Roman" w:hAnsi="Times New Roman" w:eastAsia="仿宋_GB2312" w:cs="Times New Roman"/>
          <w:color w:val="auto"/>
          <w:sz w:val="32"/>
          <w:szCs w:val="32"/>
          <w:lang w:val="en-US" w:eastAsia="zh-CN"/>
        </w:rPr>
        <w:t>标准文本（</w:t>
      </w:r>
      <w:r>
        <w:rPr>
          <w:rFonts w:hint="default" w:ascii="Times New Roman" w:hAnsi="Times New Roman" w:eastAsia="仿宋_GB2312" w:cs="Times New Roman"/>
          <w:color w:val="auto"/>
          <w:sz w:val="32"/>
          <w:szCs w:val="32"/>
        </w:rPr>
        <w:t>讨论稿</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起草</w:t>
      </w:r>
      <w:r>
        <w:rPr>
          <w:rFonts w:hint="default" w:ascii="Times New Roman" w:hAnsi="Times New Roman" w:eastAsia="仿宋_GB2312" w:cs="Times New Roman"/>
          <w:color w:val="auto"/>
          <w:sz w:val="32"/>
          <w:szCs w:val="32"/>
        </w:rPr>
        <w:t>组内多次</w:t>
      </w:r>
      <w:r>
        <w:rPr>
          <w:rFonts w:hint="eastAsia" w:ascii="Times New Roman" w:hAnsi="Times New Roman" w:eastAsia="仿宋_GB2312" w:cs="Times New Roman"/>
          <w:color w:val="auto"/>
          <w:sz w:val="32"/>
          <w:szCs w:val="32"/>
          <w:lang w:eastAsia="zh-CN"/>
        </w:rPr>
        <w:t>召开专题</w:t>
      </w:r>
      <w:r>
        <w:rPr>
          <w:rFonts w:hint="eastAsia" w:ascii="Times New Roman" w:hAnsi="Times New Roman" w:eastAsia="仿宋_GB2312" w:cs="Times New Roman"/>
          <w:color w:val="auto"/>
          <w:sz w:val="32"/>
          <w:szCs w:val="32"/>
          <w:lang w:val="en-US" w:eastAsia="zh-CN"/>
        </w:rPr>
        <w:t>研讨</w:t>
      </w:r>
      <w:r>
        <w:rPr>
          <w:rFonts w:hint="eastAsia" w:ascii="Times New Roman" w:hAnsi="Times New Roman" w:eastAsia="仿宋_GB2312" w:cs="Times New Roman"/>
          <w:color w:val="auto"/>
          <w:sz w:val="32"/>
          <w:szCs w:val="32"/>
          <w:lang w:eastAsia="zh-CN"/>
        </w:rPr>
        <w:t>会，对</w:t>
      </w:r>
      <w:r>
        <w:rPr>
          <w:rFonts w:hint="default" w:ascii="Times New Roman" w:hAnsi="Times New Roman" w:eastAsia="仿宋_GB2312" w:cs="Times New Roman"/>
          <w:kern w:val="2"/>
          <w:sz w:val="32"/>
          <w:szCs w:val="32"/>
          <w:lang w:val="en-US" w:eastAsia="zh-CN" w:bidi="ar-SA"/>
        </w:rPr>
        <w:t>标准</w:t>
      </w:r>
      <w:r>
        <w:rPr>
          <w:rFonts w:hint="eastAsia" w:ascii="Times New Roman" w:hAnsi="Times New Roman" w:eastAsia="仿宋_GB2312" w:cs="Times New Roman"/>
          <w:kern w:val="2"/>
          <w:sz w:val="32"/>
          <w:szCs w:val="32"/>
          <w:lang w:val="en-US" w:eastAsia="zh-CN" w:bidi="ar-SA"/>
        </w:rPr>
        <w:t>文本（</w:t>
      </w:r>
      <w:r>
        <w:rPr>
          <w:rFonts w:hint="default" w:ascii="Times New Roman" w:hAnsi="Times New Roman" w:eastAsia="仿宋_GB2312" w:cs="Times New Roman"/>
          <w:kern w:val="2"/>
          <w:sz w:val="32"/>
          <w:szCs w:val="32"/>
          <w:lang w:val="en-US" w:eastAsia="zh-CN" w:bidi="ar-SA"/>
        </w:rPr>
        <w:t>讨论稿</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的结构、技术内容、条款表述等进行深入研讨和逐条审议</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根据讨论结果进行了认真修改，形成标准</w:t>
      </w:r>
      <w:r>
        <w:rPr>
          <w:rFonts w:hint="eastAsia" w:ascii="Times New Roman" w:hAnsi="Times New Roman" w:eastAsia="仿宋_GB2312" w:cs="Times New Roman"/>
          <w:kern w:val="2"/>
          <w:sz w:val="32"/>
          <w:szCs w:val="32"/>
          <w:lang w:val="en-US" w:eastAsia="zh-CN" w:bidi="ar-SA"/>
        </w:rPr>
        <w:t>文本（</w:t>
      </w:r>
      <w:r>
        <w:rPr>
          <w:rFonts w:hint="default" w:ascii="Times New Roman" w:hAnsi="Times New Roman" w:eastAsia="仿宋_GB2312" w:cs="Times New Roman"/>
          <w:kern w:val="2"/>
          <w:sz w:val="32"/>
          <w:szCs w:val="32"/>
          <w:lang w:val="en-US" w:eastAsia="zh-CN" w:bidi="ar-SA"/>
        </w:rPr>
        <w:t>征求意见稿</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及编制说明。</w:t>
      </w:r>
    </w:p>
    <w:p w14:paraId="32AB4D06">
      <w:pPr>
        <w:keepNext w:val="0"/>
        <w:keepLines w:val="0"/>
        <w:pageBreakBefore w:val="0"/>
        <w:kinsoku/>
        <w:wordWrap/>
        <w:overflowPunct/>
        <w:topLinePunct w:val="0"/>
        <w:autoSpaceDE/>
        <w:autoSpaceDN/>
        <w:bidi w:val="0"/>
        <w:adjustRightInd/>
        <w:snapToGrid/>
        <w:spacing w:line="600" w:lineRule="exact"/>
        <w:ind w:firstLine="643" w:firstLineChars="200"/>
        <w:textAlignment w:val="auto"/>
        <w:outlineLvl w:val="1"/>
        <w:rPr>
          <w:rFonts w:hint="eastAsia" w:ascii="楷体_GB2312" w:hAnsi="楷体_GB2312" w:eastAsia="楷体_GB2312" w:cs="楷体_GB2312"/>
          <w:b/>
          <w:bCs/>
          <w:color w:val="auto"/>
          <w:sz w:val="32"/>
          <w:szCs w:val="32"/>
        </w:rPr>
      </w:pPr>
      <w:bookmarkStart w:id="11" w:name="_Toc1546"/>
      <w:r>
        <w:rPr>
          <w:rFonts w:hint="eastAsia" w:ascii="楷体_GB2312" w:hAnsi="楷体_GB2312" w:eastAsia="楷体_GB2312" w:cs="楷体_GB2312"/>
          <w:b/>
          <w:bCs/>
          <w:color w:val="auto"/>
          <w:sz w:val="32"/>
          <w:szCs w:val="32"/>
        </w:rPr>
        <w:t>（四）</w:t>
      </w:r>
      <w:r>
        <w:rPr>
          <w:rFonts w:hint="eastAsia" w:ascii="楷体_GB2312" w:hAnsi="楷体_GB2312" w:eastAsia="楷体_GB2312" w:cs="楷体_GB2312"/>
          <w:b/>
          <w:bCs/>
          <w:color w:val="auto"/>
          <w:sz w:val="32"/>
          <w:szCs w:val="32"/>
          <w:lang w:eastAsia="zh-CN"/>
        </w:rPr>
        <w:t>试验验证与</w:t>
      </w:r>
      <w:r>
        <w:rPr>
          <w:rFonts w:hint="eastAsia" w:ascii="楷体_GB2312" w:hAnsi="楷体_GB2312" w:eastAsia="楷体_GB2312" w:cs="楷体_GB2312"/>
          <w:b/>
          <w:bCs/>
          <w:color w:val="auto"/>
          <w:sz w:val="32"/>
          <w:szCs w:val="32"/>
        </w:rPr>
        <w:t>征</w:t>
      </w:r>
      <w:r>
        <w:rPr>
          <w:rFonts w:hint="eastAsia" w:ascii="楷体_GB2312" w:hAnsi="楷体_GB2312" w:eastAsia="楷体_GB2312" w:cs="楷体_GB2312"/>
          <w:b/>
          <w:bCs/>
          <w:color w:val="auto"/>
          <w:sz w:val="32"/>
          <w:szCs w:val="32"/>
          <w:lang w:eastAsia="zh-CN"/>
        </w:rPr>
        <w:t>求</w:t>
      </w:r>
      <w:r>
        <w:rPr>
          <w:rFonts w:hint="eastAsia" w:ascii="楷体_GB2312" w:hAnsi="楷体_GB2312" w:eastAsia="楷体_GB2312" w:cs="楷体_GB2312"/>
          <w:b/>
          <w:bCs/>
          <w:color w:val="auto"/>
          <w:sz w:val="32"/>
          <w:szCs w:val="32"/>
        </w:rPr>
        <w:t>意见</w:t>
      </w:r>
      <w:bookmarkEnd w:id="11"/>
    </w:p>
    <w:p w14:paraId="08C393B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color w:val="auto"/>
          <w:sz w:val="32"/>
          <w:szCs w:val="32"/>
          <w:highlight w:val="none"/>
          <w:lang w:val="en-US" w:eastAsia="zh-CN"/>
        </w:rPr>
        <w:t>2025年7月~9月，</w:t>
      </w:r>
      <w:r>
        <w:rPr>
          <w:rFonts w:hint="default" w:ascii="Times New Roman" w:hAnsi="Times New Roman" w:eastAsia="仿宋_GB2312" w:cs="Times New Roman"/>
          <w:kern w:val="2"/>
          <w:sz w:val="32"/>
          <w:szCs w:val="32"/>
          <w:lang w:val="en-US" w:eastAsia="zh-CN" w:bidi="ar-SA"/>
        </w:rPr>
        <w:t>起草组</w:t>
      </w:r>
      <w:r>
        <w:rPr>
          <w:rFonts w:hint="default" w:ascii="Times New Roman" w:hAnsi="Times New Roman" w:eastAsia="仿宋_GB2312" w:cs="Times New Roman"/>
          <w:color w:val="auto"/>
          <w:sz w:val="32"/>
          <w:szCs w:val="32"/>
          <w:lang w:val="en-US" w:eastAsia="zh-CN"/>
        </w:rPr>
        <w:t>在贺兰县、兴庆区、西吉县的8个乡镇、11个行政村和2个养殖园区，</w:t>
      </w:r>
      <w:r>
        <w:rPr>
          <w:rFonts w:hint="default" w:ascii="Times New Roman" w:hAnsi="Times New Roman" w:eastAsia="仿宋_GB2312" w:cs="Times New Roman"/>
          <w:color w:val="auto"/>
          <w:sz w:val="32"/>
          <w:szCs w:val="32"/>
          <w:lang w:eastAsia="zh-CN"/>
        </w:rPr>
        <w:t>对</w:t>
      </w:r>
      <w:r>
        <w:rPr>
          <w:rFonts w:hint="default" w:ascii="Times New Roman" w:hAnsi="Times New Roman" w:eastAsia="仿宋_GB2312" w:cs="Times New Roman"/>
          <w:color w:val="auto"/>
          <w:sz w:val="32"/>
          <w:szCs w:val="32"/>
          <w:highlight w:val="none"/>
          <w:lang w:eastAsia="zh-CN"/>
        </w:rPr>
        <w:t>宁夏鸿益程牧业有限公司等</w:t>
      </w:r>
      <w:r>
        <w:rPr>
          <w:rFonts w:hint="default" w:ascii="Times New Roman" w:hAnsi="Times New Roman"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eastAsia="zh-CN"/>
        </w:rPr>
        <w:t>个牛羊</w:t>
      </w:r>
      <w:r>
        <w:rPr>
          <w:rFonts w:hint="default" w:ascii="Times New Roman" w:hAnsi="Times New Roman" w:eastAsia="仿宋_GB2312" w:cs="Times New Roman"/>
          <w:color w:val="auto"/>
          <w:sz w:val="32"/>
          <w:szCs w:val="32"/>
          <w:highlight w:val="none"/>
          <w:lang w:val="en-US" w:eastAsia="zh-CN"/>
        </w:rPr>
        <w:t>规模</w:t>
      </w:r>
      <w:r>
        <w:rPr>
          <w:rFonts w:hint="default" w:ascii="Times New Roman" w:hAnsi="Times New Roman" w:eastAsia="仿宋_GB2312" w:cs="Times New Roman"/>
          <w:color w:val="auto"/>
          <w:sz w:val="32"/>
          <w:szCs w:val="32"/>
          <w:highlight w:val="none"/>
          <w:lang w:eastAsia="zh-CN"/>
        </w:rPr>
        <w:t>养殖场、</w:t>
      </w:r>
      <w:r>
        <w:rPr>
          <w:rFonts w:hint="default" w:ascii="Times New Roman" w:hAnsi="Times New Roman" w:eastAsia="仿宋_GB2312" w:cs="Times New Roman"/>
          <w:color w:val="auto"/>
          <w:sz w:val="32"/>
          <w:szCs w:val="32"/>
          <w:highlight w:val="none"/>
          <w:lang w:val="en-US" w:eastAsia="zh-CN"/>
        </w:rPr>
        <w:t>64个牛羊散养户</w:t>
      </w:r>
      <w:r>
        <w:rPr>
          <w:rFonts w:hint="default" w:ascii="Times New Roman" w:hAnsi="Times New Roman" w:eastAsia="仿宋_GB2312" w:cs="Times New Roman"/>
          <w:color w:val="auto"/>
          <w:sz w:val="32"/>
          <w:szCs w:val="32"/>
          <w:highlight w:val="none"/>
          <w:lang w:eastAsia="zh-CN"/>
        </w:rPr>
        <w:t>和</w:t>
      </w:r>
      <w:r>
        <w:rPr>
          <w:rFonts w:hint="default" w:ascii="Times New Roman" w:hAnsi="Times New Roman" w:eastAsia="仿宋_GB2312" w:cs="Times New Roman"/>
          <w:color w:val="auto"/>
          <w:sz w:val="32"/>
          <w:szCs w:val="32"/>
          <w:highlight w:val="none"/>
          <w:lang w:val="en-US" w:eastAsia="zh-CN"/>
        </w:rPr>
        <w:t>5个</w:t>
      </w:r>
      <w:r>
        <w:rPr>
          <w:rFonts w:hint="eastAsia" w:ascii="Times New Roman" w:hAnsi="Times New Roman" w:eastAsia="仿宋_GB2312" w:cs="Times New Roman"/>
          <w:color w:val="auto"/>
          <w:sz w:val="32"/>
          <w:szCs w:val="32"/>
          <w:highlight w:val="none"/>
          <w:lang w:val="en-US" w:eastAsia="zh-CN"/>
        </w:rPr>
        <w:t>兽医</w:t>
      </w:r>
      <w:r>
        <w:rPr>
          <w:rFonts w:hint="default" w:ascii="Times New Roman" w:hAnsi="Times New Roman" w:eastAsia="仿宋_GB2312" w:cs="Times New Roman"/>
          <w:color w:val="auto"/>
          <w:sz w:val="32"/>
          <w:szCs w:val="32"/>
          <w:highlight w:val="none"/>
          <w:lang w:eastAsia="zh-CN"/>
        </w:rPr>
        <w:t>社会化服务组织（</w:t>
      </w:r>
      <w:r>
        <w:rPr>
          <w:rFonts w:hint="default" w:ascii="Times New Roman" w:hAnsi="Times New Roman" w:eastAsia="仿宋_GB2312" w:cs="Times New Roman"/>
          <w:color w:val="auto"/>
          <w:sz w:val="32"/>
          <w:szCs w:val="32"/>
          <w:highlight w:val="none"/>
          <w:lang w:val="en-US" w:eastAsia="zh-CN"/>
        </w:rPr>
        <w:t>52名防疫员</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开展了</w:t>
      </w:r>
      <w:r>
        <w:rPr>
          <w:rFonts w:hint="default" w:ascii="Times New Roman" w:hAnsi="Times New Roman" w:eastAsia="仿宋_GB2312" w:cs="Times New Roman"/>
          <w:color w:val="auto"/>
          <w:sz w:val="32"/>
          <w:szCs w:val="32"/>
          <w:highlight w:val="none"/>
          <w:lang w:eastAsia="zh-CN"/>
        </w:rPr>
        <w:t>管理情况评估。</w:t>
      </w:r>
      <w:r>
        <w:rPr>
          <w:rFonts w:hint="default" w:ascii="Times New Roman" w:hAnsi="Times New Roman" w:eastAsia="仿宋_GB2312" w:cs="Times New Roman"/>
          <w:color w:val="auto"/>
          <w:sz w:val="32"/>
          <w:szCs w:val="32"/>
          <w:highlight w:val="none"/>
          <w:lang w:val="en-US" w:eastAsia="zh-CN"/>
        </w:rPr>
        <w:t>选取其中3个</w:t>
      </w:r>
      <w:r>
        <w:rPr>
          <w:rFonts w:hint="default" w:ascii="Times New Roman" w:hAnsi="Times New Roman" w:eastAsia="仿宋_GB2312" w:cs="Times New Roman"/>
          <w:color w:val="auto"/>
          <w:sz w:val="32"/>
          <w:szCs w:val="32"/>
          <w:highlight w:val="none"/>
          <w:lang w:eastAsia="zh-CN"/>
        </w:rPr>
        <w:t>牛羊</w:t>
      </w:r>
      <w:r>
        <w:rPr>
          <w:rFonts w:hint="default" w:ascii="Times New Roman" w:hAnsi="Times New Roman" w:eastAsia="仿宋_GB2312" w:cs="Times New Roman"/>
          <w:color w:val="auto"/>
          <w:sz w:val="32"/>
          <w:szCs w:val="32"/>
          <w:highlight w:val="none"/>
          <w:lang w:val="en-US" w:eastAsia="zh-CN"/>
        </w:rPr>
        <w:t>规模</w:t>
      </w:r>
      <w:r>
        <w:rPr>
          <w:rFonts w:hint="default" w:ascii="Times New Roman" w:hAnsi="Times New Roman" w:eastAsia="仿宋_GB2312" w:cs="Times New Roman"/>
          <w:color w:val="auto"/>
          <w:sz w:val="32"/>
          <w:szCs w:val="32"/>
          <w:highlight w:val="none"/>
          <w:lang w:eastAsia="zh-CN"/>
        </w:rPr>
        <w:t>养殖场</w:t>
      </w:r>
      <w:r>
        <w:rPr>
          <w:rFonts w:hint="default" w:ascii="Times New Roman" w:hAnsi="Times New Roman" w:eastAsia="仿宋_GB2312" w:cs="Times New Roman"/>
          <w:color w:val="auto"/>
          <w:sz w:val="32"/>
          <w:szCs w:val="32"/>
          <w:highlight w:val="none"/>
          <w:lang w:val="en-US" w:eastAsia="zh-CN"/>
        </w:rPr>
        <w:t>开展</w:t>
      </w:r>
      <w:r>
        <w:rPr>
          <w:rFonts w:hint="default" w:ascii="Times New Roman" w:hAnsi="Times New Roman" w:eastAsia="仿宋_GB2312" w:cs="Times New Roman"/>
          <w:color w:val="auto"/>
          <w:sz w:val="32"/>
          <w:szCs w:val="32"/>
          <w:highlight w:val="none"/>
          <w:lang w:eastAsia="zh-CN"/>
        </w:rPr>
        <w:t>整改及</w:t>
      </w:r>
      <w:r>
        <w:rPr>
          <w:rFonts w:hint="default" w:ascii="Times New Roman" w:hAnsi="Times New Roman" w:eastAsia="仿宋_GB2312" w:cs="Times New Roman"/>
          <w:color w:val="auto"/>
          <w:sz w:val="32"/>
          <w:szCs w:val="32"/>
          <w:lang w:eastAsia="zh-CN"/>
        </w:rPr>
        <w:t>布鲁氏菌监测</w:t>
      </w:r>
      <w:r>
        <w:rPr>
          <w:rFonts w:hint="default" w:ascii="Times New Roman" w:hAnsi="Times New Roman" w:eastAsia="仿宋_GB2312" w:cs="Times New Roman"/>
          <w:color w:val="auto"/>
          <w:kern w:val="0"/>
          <w:sz w:val="32"/>
          <w:szCs w:val="32"/>
          <w:lang w:bidi="ar"/>
        </w:rPr>
        <w:t>试验研究</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获取</w:t>
      </w:r>
      <w:r>
        <w:rPr>
          <w:rFonts w:hint="default" w:ascii="Times New Roman" w:hAnsi="Times New Roman" w:eastAsia="仿宋_GB2312" w:cs="Times New Roman"/>
          <w:color w:val="auto"/>
          <w:sz w:val="32"/>
          <w:szCs w:val="32"/>
          <w:lang w:eastAsia="zh-CN"/>
        </w:rPr>
        <w:t>了详实可靠的试验数据</w:t>
      </w:r>
      <w:r>
        <w:rPr>
          <w:rFonts w:hint="eastAsia" w:ascii="Times New Roman" w:hAnsi="Times New Roman" w:eastAsia="仿宋_GB2312" w:cs="Times New Roman"/>
          <w:kern w:val="2"/>
          <w:sz w:val="32"/>
          <w:szCs w:val="32"/>
          <w:lang w:val="en-US" w:eastAsia="zh-CN" w:bidi="ar-SA"/>
        </w:rPr>
        <w:t>。整个验证过程</w:t>
      </w:r>
      <w:r>
        <w:rPr>
          <w:rFonts w:hint="default" w:ascii="Times New Roman" w:hAnsi="Times New Roman" w:eastAsia="仿宋_GB2312" w:cs="Times New Roman"/>
          <w:kern w:val="2"/>
          <w:sz w:val="32"/>
          <w:szCs w:val="32"/>
          <w:lang w:val="en-US" w:eastAsia="zh-CN" w:bidi="ar-SA"/>
        </w:rPr>
        <w:t>设计周密、执行规范：在试验设计上，确保了养殖场的代表性及试验条件的可比性；在操作执行上，统一了验证程序与记录标准；在效果评估上，对</w:t>
      </w:r>
      <w:r>
        <w:rPr>
          <w:rFonts w:hint="eastAsia" w:ascii="Times New Roman" w:hAnsi="Times New Roman" w:eastAsia="仿宋_GB2312" w:cs="Times New Roman"/>
          <w:kern w:val="2"/>
          <w:sz w:val="32"/>
          <w:szCs w:val="32"/>
          <w:lang w:val="en-US" w:eastAsia="zh-CN" w:bidi="ar-SA"/>
        </w:rPr>
        <w:t>布鲁氏菌免疫抗体（A19株、M5-90Δ26株）和布鲁氏菌病原进行了评估前和整改后的</w:t>
      </w:r>
      <w:r>
        <w:rPr>
          <w:rFonts w:hint="default" w:ascii="Times New Roman" w:hAnsi="Times New Roman" w:eastAsia="仿宋_GB2312" w:cs="Times New Roman"/>
          <w:kern w:val="2"/>
          <w:sz w:val="32"/>
          <w:szCs w:val="32"/>
          <w:lang w:val="en-US" w:eastAsia="zh-CN" w:bidi="ar-SA"/>
        </w:rPr>
        <w:t>对比观测与详细记录。通过系统化的实地验证，有效检验了本标准的实用性和适用性，为技术条文的制定提供了科学依据。</w:t>
      </w:r>
    </w:p>
    <w:p w14:paraId="608E04D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202</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color w:val="auto"/>
          <w:sz w:val="32"/>
          <w:szCs w:val="32"/>
          <w:highlight w:val="none"/>
          <w:lang w:val="en-US" w:eastAsia="zh-CN"/>
        </w:rPr>
        <w:t>10月~11月，</w:t>
      </w:r>
      <w:r>
        <w:rPr>
          <w:rFonts w:hint="eastAsia" w:ascii="Times New Roman" w:hAnsi="Times New Roman" w:eastAsia="仿宋_GB2312" w:cs="Times New Roman"/>
          <w:color w:val="auto"/>
          <w:sz w:val="32"/>
          <w:szCs w:val="32"/>
          <w:highlight w:val="none"/>
          <w:lang w:eastAsia="zh-CN"/>
        </w:rPr>
        <w:t>起草组将</w:t>
      </w:r>
      <w:r>
        <w:rPr>
          <w:rFonts w:hint="default" w:ascii="Times New Roman" w:hAnsi="Times New Roman" w:eastAsia="仿宋_GB2312" w:cs="Times New Roman"/>
          <w:kern w:val="2"/>
          <w:sz w:val="32"/>
          <w:szCs w:val="32"/>
          <w:highlight w:val="none"/>
          <w:lang w:val="en-US" w:eastAsia="zh-CN" w:bidi="ar-SA"/>
        </w:rPr>
        <w:t>标准</w:t>
      </w:r>
      <w:r>
        <w:rPr>
          <w:rFonts w:hint="eastAsia" w:ascii="Times New Roman" w:hAnsi="Times New Roman" w:eastAsia="仿宋_GB2312" w:cs="Times New Roman"/>
          <w:kern w:val="2"/>
          <w:sz w:val="32"/>
          <w:szCs w:val="32"/>
          <w:highlight w:val="none"/>
          <w:lang w:val="en-US" w:eastAsia="zh-CN" w:bidi="ar-SA"/>
        </w:rPr>
        <w:t>文本（</w:t>
      </w:r>
      <w:r>
        <w:rPr>
          <w:rFonts w:hint="default" w:ascii="Times New Roman" w:hAnsi="Times New Roman" w:eastAsia="仿宋_GB2312" w:cs="Times New Roman"/>
          <w:kern w:val="2"/>
          <w:sz w:val="32"/>
          <w:szCs w:val="32"/>
          <w:highlight w:val="none"/>
          <w:lang w:val="en-US" w:eastAsia="zh-CN" w:bidi="ar-SA"/>
        </w:rPr>
        <w:t>征求意见稿</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及编制说明发送至</w:t>
      </w:r>
      <w:r>
        <w:rPr>
          <w:rFonts w:hint="eastAsia" w:ascii="Times New Roman" w:hAnsi="Times New Roman" w:eastAsia="仿宋_GB2312" w:cs="Times New Roman"/>
          <w:kern w:val="2"/>
          <w:sz w:val="32"/>
          <w:szCs w:val="32"/>
          <w:highlight w:val="none"/>
          <w:lang w:val="en-US" w:eastAsia="zh-CN" w:bidi="ar-SA"/>
        </w:rPr>
        <w:t>宁夏大学动物科技学院、宁夏农林科学院动物科学研究所、宁夏动物卫生监督所、宁夏兽药饲料监察所和宁夏食品安全协会等5位行业专家征求意见，共收到专家意见13条，采纳意见13条。起草组将</w:t>
      </w:r>
      <w:r>
        <w:rPr>
          <w:rFonts w:hint="default" w:ascii="Times New Roman" w:hAnsi="Times New Roman" w:eastAsia="仿宋_GB2312" w:cs="Times New Roman"/>
          <w:kern w:val="2"/>
          <w:sz w:val="32"/>
          <w:szCs w:val="32"/>
          <w:highlight w:val="none"/>
          <w:lang w:val="en-US" w:eastAsia="zh-CN" w:bidi="ar-SA"/>
        </w:rPr>
        <w:t>标准</w:t>
      </w:r>
      <w:r>
        <w:rPr>
          <w:rFonts w:hint="eastAsia" w:ascii="Times New Roman" w:hAnsi="Times New Roman" w:eastAsia="仿宋_GB2312" w:cs="Times New Roman"/>
          <w:kern w:val="2"/>
          <w:sz w:val="32"/>
          <w:szCs w:val="32"/>
          <w:highlight w:val="none"/>
          <w:lang w:val="en-US" w:eastAsia="zh-CN" w:bidi="ar-SA"/>
        </w:rPr>
        <w:t>文本（</w:t>
      </w:r>
      <w:r>
        <w:rPr>
          <w:rFonts w:hint="default" w:ascii="Times New Roman" w:hAnsi="Times New Roman" w:eastAsia="仿宋_GB2312" w:cs="Times New Roman"/>
          <w:kern w:val="2"/>
          <w:sz w:val="32"/>
          <w:szCs w:val="32"/>
          <w:highlight w:val="none"/>
          <w:lang w:val="en-US" w:eastAsia="zh-CN" w:bidi="ar-SA"/>
        </w:rPr>
        <w:t>征求意见稿</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及编制说明发送至</w:t>
      </w:r>
      <w:r>
        <w:rPr>
          <w:rFonts w:hint="eastAsia" w:ascii="Times New Roman" w:hAnsi="Times New Roman" w:eastAsia="仿宋_GB2312" w:cs="Times New Roman"/>
          <w:kern w:val="2"/>
          <w:sz w:val="32"/>
          <w:szCs w:val="32"/>
          <w:highlight w:val="none"/>
          <w:lang w:val="en-US" w:eastAsia="zh-CN" w:bidi="ar-SA"/>
        </w:rPr>
        <w:t>全区各市、县</w:t>
      </w:r>
      <w:r>
        <w:rPr>
          <w:rFonts w:hint="default" w:ascii="Times New Roman" w:hAnsi="Times New Roman" w:eastAsia="仿宋_GB2312" w:cs="Times New Roman"/>
          <w:kern w:val="2"/>
          <w:sz w:val="32"/>
          <w:szCs w:val="32"/>
          <w:highlight w:val="none"/>
          <w:lang w:val="en-US" w:eastAsia="zh-CN" w:bidi="ar-SA"/>
        </w:rPr>
        <w:t>（区）农业农村局、动物疾控</w:t>
      </w:r>
      <w:r>
        <w:rPr>
          <w:rFonts w:hint="eastAsia" w:ascii="Times New Roman" w:hAnsi="Times New Roman" w:eastAsia="仿宋_GB2312" w:cs="Times New Roman"/>
          <w:kern w:val="2"/>
          <w:sz w:val="32"/>
          <w:szCs w:val="32"/>
          <w:highlight w:val="none"/>
          <w:lang w:val="en-US" w:eastAsia="zh-CN" w:bidi="ar-SA"/>
        </w:rPr>
        <w:t>机构</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动物卫生监督机构、兽医社会化服务组织等单位广泛征求意见，共收到反馈意见13条，采纳意见9条，未采纳意见4条（已在征求意见汇总处理表中明确未采纳原因及依据等）。综合以上征集到的意见建议，对标准文本（征求意见稿）和编制说明进行了进一步完善。</w:t>
      </w:r>
    </w:p>
    <w:p w14:paraId="35F792C2">
      <w:pPr>
        <w:keepNext w:val="0"/>
        <w:keepLines w:val="0"/>
        <w:pageBreakBefore w:val="0"/>
        <w:widowControl w:val="0"/>
        <w:kinsoku/>
        <w:wordWrap/>
        <w:overflowPunct/>
        <w:topLinePunct w:val="0"/>
        <w:autoSpaceDE/>
        <w:autoSpaceDN/>
        <w:bidi w:val="0"/>
        <w:adjustRightInd/>
        <w:snapToGrid/>
        <w:spacing w:line="600" w:lineRule="exact"/>
        <w:ind w:firstLine="616" w:firstLineChars="200"/>
        <w:textAlignment w:val="auto"/>
        <w:rPr>
          <w:rFonts w:hint="default" w:ascii="Times New Roman" w:hAnsi="Times New Roman" w:eastAsia="仿宋_GB2312" w:cs="Times New Roman"/>
          <w:color w:val="auto"/>
          <w:spacing w:val="-6"/>
        </w:rPr>
      </w:pPr>
      <w:r>
        <w:rPr>
          <w:rFonts w:hint="default" w:ascii="Times New Roman" w:hAnsi="Times New Roman" w:eastAsia="仿宋_GB2312" w:cs="Times New Roman"/>
          <w:color w:val="auto"/>
          <w:spacing w:val="-6"/>
          <w:sz w:val="32"/>
          <w:szCs w:val="32"/>
          <w:highlight w:val="none"/>
          <w:lang w:val="en-US" w:eastAsia="zh-CN"/>
        </w:rPr>
        <w:t>2026年1月，</w:t>
      </w:r>
      <w:r>
        <w:rPr>
          <w:rFonts w:hint="default" w:ascii="Times New Roman" w:hAnsi="Times New Roman" w:eastAsia="仿宋_GB2312" w:cs="Times New Roman"/>
          <w:color w:val="auto"/>
          <w:spacing w:val="-6"/>
          <w:sz w:val="32"/>
          <w:szCs w:val="32"/>
          <w:lang w:val="en-US" w:eastAsia="zh-CN"/>
        </w:rPr>
        <w:t>起草组将《</w:t>
      </w:r>
      <w:r>
        <w:rPr>
          <w:rFonts w:hint="default" w:ascii="Times New Roman" w:hAnsi="Times New Roman" w:eastAsia="仿宋_GB2312" w:cs="Times New Roman"/>
          <w:color w:val="auto"/>
          <w:spacing w:val="-6"/>
          <w:sz w:val="32"/>
          <w:szCs w:val="32"/>
        </w:rPr>
        <w:t>牛羊布鲁氏菌病免疫操作技术规范</w:t>
      </w:r>
      <w:r>
        <w:rPr>
          <w:rFonts w:hint="default" w:ascii="Times New Roman" w:hAnsi="Times New Roman" w:eastAsia="仿宋_GB2312" w:cs="Times New Roman"/>
          <w:color w:val="auto"/>
          <w:spacing w:val="-6"/>
          <w:sz w:val="32"/>
          <w:szCs w:val="32"/>
          <w:lang w:val="en-US" w:eastAsia="zh-CN"/>
        </w:rPr>
        <w:t>》（</w:t>
      </w:r>
      <w:r>
        <w:rPr>
          <w:rFonts w:hint="eastAsia" w:ascii="Times New Roman" w:hAnsi="Times New Roman" w:eastAsia="仿宋_GB2312" w:cs="Times New Roman"/>
          <w:color w:val="auto"/>
          <w:spacing w:val="-6"/>
          <w:sz w:val="32"/>
          <w:szCs w:val="32"/>
          <w:lang w:val="en-US" w:eastAsia="zh-CN"/>
        </w:rPr>
        <w:t>征求意见</w:t>
      </w:r>
      <w:r>
        <w:rPr>
          <w:rFonts w:hint="default" w:ascii="Times New Roman" w:hAnsi="Times New Roman" w:eastAsia="仿宋_GB2312" w:cs="Times New Roman"/>
          <w:color w:val="auto"/>
          <w:spacing w:val="-6"/>
          <w:sz w:val="32"/>
          <w:szCs w:val="32"/>
          <w:lang w:val="en-US" w:eastAsia="zh-CN"/>
        </w:rPr>
        <w:t>稿）</w:t>
      </w:r>
      <w:r>
        <w:rPr>
          <w:rFonts w:hint="eastAsia" w:ascii="Times New Roman" w:hAnsi="Times New Roman" w:eastAsia="仿宋_GB2312" w:cs="Times New Roman"/>
          <w:color w:val="auto"/>
          <w:spacing w:val="-6"/>
          <w:sz w:val="32"/>
          <w:szCs w:val="32"/>
          <w:lang w:val="en-US" w:eastAsia="zh-CN"/>
        </w:rPr>
        <w:t>、编制说明和征求意见汇总处理表</w:t>
      </w:r>
      <w:r>
        <w:rPr>
          <w:rFonts w:hint="default" w:ascii="Times New Roman" w:hAnsi="Times New Roman" w:eastAsia="仿宋_GB2312" w:cs="Times New Roman"/>
          <w:color w:val="auto"/>
          <w:spacing w:val="-6"/>
          <w:sz w:val="32"/>
          <w:szCs w:val="32"/>
          <w:lang w:val="en-US" w:eastAsia="zh-CN"/>
        </w:rPr>
        <w:t>报送自治区农业农村厅农产品质量安全监管处审核。</w:t>
      </w:r>
    </w:p>
    <w:p w14:paraId="154C2F3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1"/>
        <w:rPr>
          <w:rFonts w:hint="eastAsia" w:ascii="楷体_GB2312" w:hAnsi="楷体_GB2312" w:eastAsia="楷体_GB2312" w:cs="楷体_GB2312"/>
          <w:b/>
          <w:bCs/>
          <w:color w:val="auto"/>
          <w:sz w:val="32"/>
          <w:szCs w:val="32"/>
        </w:rPr>
      </w:pPr>
      <w:bookmarkStart w:id="12" w:name="_Toc21540"/>
      <w:r>
        <w:rPr>
          <w:rFonts w:hint="eastAsia" w:ascii="楷体_GB2312" w:hAnsi="楷体_GB2312" w:eastAsia="楷体_GB2312" w:cs="楷体_GB2312"/>
          <w:b/>
          <w:bCs/>
          <w:color w:val="auto"/>
          <w:kern w:val="2"/>
          <w:sz w:val="32"/>
          <w:szCs w:val="32"/>
          <w:lang w:val="en-US" w:eastAsia="zh-CN" w:bidi="ar-SA"/>
        </w:rPr>
        <w:t>（五）形成送审稿与</w:t>
      </w:r>
      <w:r>
        <w:rPr>
          <w:rFonts w:hint="eastAsia" w:ascii="楷体_GB2312" w:hAnsi="楷体_GB2312" w:eastAsia="楷体_GB2312" w:cs="楷体_GB2312"/>
          <w:b/>
          <w:bCs/>
          <w:color w:val="auto"/>
          <w:sz w:val="32"/>
          <w:szCs w:val="32"/>
        </w:rPr>
        <w:t>报批</w:t>
      </w:r>
      <w:bookmarkEnd w:id="12"/>
    </w:p>
    <w:p w14:paraId="0BBAAFBE">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eastAsia" w:ascii="国标黑体" w:hAnsi="国标黑体" w:eastAsia="国标黑体" w:cs="国标黑体"/>
          <w:color w:val="auto"/>
          <w:sz w:val="32"/>
          <w:szCs w:val="32"/>
        </w:rPr>
      </w:pPr>
      <w:bookmarkStart w:id="13" w:name="_Toc12547"/>
      <w:r>
        <w:rPr>
          <w:rFonts w:hint="eastAsia" w:ascii="国标黑体" w:hAnsi="国标黑体" w:eastAsia="国标黑体" w:cs="国标黑体"/>
          <w:color w:val="auto"/>
          <w:sz w:val="32"/>
          <w:szCs w:val="32"/>
        </w:rPr>
        <w:t>四、编制原则和依据，与现行法律、法规、标准的关系</w:t>
      </w:r>
      <w:bookmarkEnd w:id="13"/>
    </w:p>
    <w:p w14:paraId="69F8286E">
      <w:pPr>
        <w:keepNext w:val="0"/>
        <w:keepLines w:val="0"/>
        <w:pageBreakBefore w:val="0"/>
        <w:kinsoku/>
        <w:wordWrap/>
        <w:overflowPunct/>
        <w:topLinePunct w:val="0"/>
        <w:autoSpaceDE/>
        <w:autoSpaceDN/>
        <w:bidi w:val="0"/>
        <w:adjustRightInd/>
        <w:snapToGrid/>
        <w:spacing w:line="600" w:lineRule="exact"/>
        <w:ind w:firstLine="643" w:firstLineChars="200"/>
        <w:textAlignment w:val="auto"/>
        <w:outlineLvl w:val="1"/>
        <w:rPr>
          <w:rFonts w:hint="eastAsia" w:ascii="楷体_GB2312" w:hAnsi="楷体_GB2312" w:eastAsia="楷体_GB2312" w:cs="楷体_GB2312"/>
          <w:b/>
          <w:bCs/>
          <w:color w:val="auto"/>
          <w:sz w:val="32"/>
          <w:szCs w:val="32"/>
        </w:rPr>
      </w:pPr>
      <w:bookmarkStart w:id="14" w:name="_Toc27222"/>
      <w:r>
        <w:rPr>
          <w:rFonts w:hint="eastAsia" w:ascii="楷体_GB2312" w:hAnsi="楷体_GB2312" w:eastAsia="楷体_GB2312" w:cs="楷体_GB2312"/>
          <w:b/>
          <w:bCs/>
          <w:color w:val="auto"/>
          <w:sz w:val="32"/>
          <w:szCs w:val="32"/>
        </w:rPr>
        <w:t>（一）编制原则</w:t>
      </w:r>
      <w:bookmarkEnd w:id="14"/>
    </w:p>
    <w:p w14:paraId="3E1DBA1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eastAsia" w:ascii="Times New Roman" w:hAnsi="Times New Roman" w:eastAsia="仿宋_GB2312" w:cs="Times New Roman"/>
          <w:b w:val="0"/>
          <w:bCs w:val="0"/>
          <w:color w:val="auto"/>
          <w:sz w:val="32"/>
          <w:szCs w:val="32"/>
          <w:lang w:eastAsia="zh-CN"/>
        </w:rPr>
        <w:t>本标准按照</w:t>
      </w:r>
      <w:r>
        <w:rPr>
          <w:rFonts w:hint="default" w:ascii="Times New Roman" w:hAnsi="Times New Roman" w:eastAsia="仿宋_GB2312" w:cs="Times New Roman"/>
          <w:b w:val="0"/>
          <w:bCs w:val="0"/>
          <w:color w:val="auto"/>
          <w:sz w:val="32"/>
          <w:szCs w:val="32"/>
          <w:lang w:eastAsia="zh-CN"/>
        </w:rPr>
        <w:t>GB/T 1.1-2020《标准化工作导则 第1部分：标准化文件的结构和起草规则》给出的规则</w:t>
      </w:r>
      <w:r>
        <w:rPr>
          <w:rFonts w:hint="eastAsia" w:ascii="Times New Roman" w:hAnsi="Times New Roman" w:eastAsia="仿宋_GB2312" w:cs="Times New Roman"/>
          <w:b w:val="0"/>
          <w:bCs w:val="0"/>
          <w:color w:val="auto"/>
          <w:sz w:val="32"/>
          <w:szCs w:val="32"/>
          <w:lang w:eastAsia="zh-CN"/>
        </w:rPr>
        <w:t>起草。标准编制遵循</w:t>
      </w:r>
      <w:r>
        <w:rPr>
          <w:rFonts w:hint="default" w:ascii="Times New Roman" w:hAnsi="Times New Roman" w:eastAsia="仿宋_GB2312" w:cs="Times New Roman"/>
          <w:b w:val="0"/>
          <w:bCs w:val="0"/>
          <w:color w:val="auto"/>
          <w:sz w:val="32"/>
          <w:szCs w:val="32"/>
          <w:lang w:eastAsia="zh-CN"/>
        </w:rPr>
        <w:t>“统一性、协调性、适用性、一致性、规范性”的原则，按照先进性、科学性、合理性和可操作性的要求，</w:t>
      </w:r>
      <w:r>
        <w:rPr>
          <w:rFonts w:hint="eastAsia" w:ascii="Times New Roman" w:hAnsi="Times New Roman" w:eastAsia="仿宋_GB2312" w:cs="Times New Roman"/>
          <w:b w:val="0"/>
          <w:bCs w:val="0"/>
          <w:color w:val="auto"/>
          <w:sz w:val="32"/>
          <w:szCs w:val="32"/>
          <w:lang w:eastAsia="zh-CN"/>
        </w:rPr>
        <w:t>以及</w:t>
      </w:r>
      <w:r>
        <w:rPr>
          <w:rFonts w:hint="default" w:ascii="Times New Roman" w:hAnsi="Times New Roman" w:eastAsia="仿宋_GB2312" w:cs="Times New Roman"/>
          <w:b w:val="0"/>
          <w:bCs w:val="0"/>
          <w:color w:val="auto"/>
          <w:sz w:val="32"/>
          <w:szCs w:val="32"/>
          <w:lang w:eastAsia="zh-CN"/>
        </w:rPr>
        <w:t>《宁夏地方标准管理办法》第四条（制定原则）制定地方标准应遵循科学、公平、公正、公开和效益的原则，第五条（制定要求）地方标准应制定政府职责范围内的公益类标准，重点制定社会管理和公共服务领域的地方标准编写了本标准。</w:t>
      </w:r>
    </w:p>
    <w:p w14:paraId="2F48E467">
      <w:pPr>
        <w:keepNext w:val="0"/>
        <w:keepLines w:val="0"/>
        <w:pageBreakBefore w:val="0"/>
        <w:kinsoku/>
        <w:wordWrap/>
        <w:overflowPunct/>
        <w:topLinePunct w:val="0"/>
        <w:autoSpaceDE/>
        <w:autoSpaceDN/>
        <w:bidi w:val="0"/>
        <w:adjustRightInd/>
        <w:snapToGrid/>
        <w:spacing w:line="600" w:lineRule="exact"/>
        <w:ind w:firstLine="643" w:firstLineChars="200"/>
        <w:textAlignment w:val="auto"/>
        <w:outlineLvl w:val="1"/>
        <w:rPr>
          <w:rFonts w:hint="eastAsia" w:ascii="楷体_GB2312" w:hAnsi="楷体_GB2312" w:eastAsia="楷体_GB2312" w:cs="楷体_GB2312"/>
          <w:b/>
          <w:bCs/>
          <w:color w:val="auto"/>
          <w:sz w:val="32"/>
          <w:szCs w:val="32"/>
        </w:rPr>
      </w:pPr>
      <w:bookmarkStart w:id="15" w:name="_Toc7740"/>
      <w:r>
        <w:rPr>
          <w:rFonts w:hint="eastAsia" w:ascii="楷体_GB2312" w:hAnsi="楷体_GB2312" w:eastAsia="楷体_GB2312" w:cs="楷体_GB2312"/>
          <w:b/>
          <w:bCs/>
          <w:color w:val="auto"/>
          <w:sz w:val="32"/>
          <w:szCs w:val="32"/>
        </w:rPr>
        <w:t>（二）编制依据</w:t>
      </w:r>
      <w:bookmarkEnd w:id="15"/>
    </w:p>
    <w:p w14:paraId="74B20DA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lang w:eastAsia="zh-CN"/>
        </w:rPr>
      </w:pPr>
      <w:r>
        <w:rPr>
          <w:rFonts w:hint="eastAsia" w:ascii="Times New Roman" w:hAnsi="Times New Roman" w:eastAsia="仿宋_GB2312" w:cs="Times New Roman"/>
          <w:color w:val="auto"/>
          <w:sz w:val="32"/>
          <w:szCs w:val="32"/>
          <w:lang w:eastAsia="zh-CN"/>
        </w:rPr>
        <w:t>本标准的制定主要基于以下三个层面的依据。</w:t>
      </w:r>
    </w:p>
    <w:p w14:paraId="7A549B55">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b/>
          <w:bCs/>
          <w:color w:val="auto"/>
          <w:sz w:val="32"/>
          <w:szCs w:val="32"/>
          <w:lang w:val="en-US" w:eastAsia="zh-CN"/>
        </w:rPr>
        <w:t>1.政策法规与规划依据：</w:t>
      </w:r>
      <w:r>
        <w:rPr>
          <w:rFonts w:hint="eastAsia" w:ascii="Times New Roman" w:hAnsi="Times New Roman" w:eastAsia="仿宋_GB2312" w:cs="Times New Roman"/>
          <w:color w:val="auto"/>
          <w:sz w:val="32"/>
          <w:szCs w:val="32"/>
          <w:lang w:val="en-US" w:eastAsia="zh-CN"/>
        </w:rPr>
        <w:t>本标准是为贯彻落实国家及自治区关于人兽共患病防控、生物安全管理、畜牧业高质量发展等相关政策要求而提出。编制过程中，充分依据了《动物防疫法》《兽药管理条例》《兽用生物制品经营管理办法》《畜禽标识和养殖档案管理办法》《病死畜禽和病害畜禽产品无害化处理管理办法》等法律法规及部门规章，是将宏观政策与监管要求转化为具体、可操作性技术规程的重要载体。</w:t>
      </w:r>
    </w:p>
    <w:p w14:paraId="37CC4EFB">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b/>
          <w:bCs/>
          <w:color w:val="auto"/>
          <w:sz w:val="32"/>
          <w:szCs w:val="32"/>
          <w:lang w:val="en-US" w:eastAsia="zh-CN"/>
        </w:rPr>
        <w:t>2.</w:t>
      </w:r>
      <w:r>
        <w:rPr>
          <w:rFonts w:hint="eastAsia" w:ascii="Times New Roman" w:hAnsi="Times New Roman" w:eastAsia="仿宋_GB2312" w:cs="Times New Roman"/>
          <w:b/>
          <w:bCs/>
          <w:color w:val="auto"/>
          <w:sz w:val="32"/>
          <w:szCs w:val="32"/>
          <w:lang w:eastAsia="zh-CN"/>
        </w:rPr>
        <w:t>实践基础与需求依据</w:t>
      </w:r>
      <w:r>
        <w:rPr>
          <w:rFonts w:hint="default"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color w:val="auto"/>
          <w:sz w:val="32"/>
          <w:szCs w:val="32"/>
          <w:lang w:eastAsia="zh-CN"/>
        </w:rPr>
        <w:t>标准的核心技术内容源于对宁夏地区牛羊布鲁氏菌病免疫工作现状的深入调研和问题梳理。通过前期对全区百余个养殖场户及社会化服务组织的实地调研、座谈交流，系统总结了当前免疫操作中存在的防护意识薄弱、操作不规范、废弃物处置不当等突出问题。本标准正是针对这些问题，结合本中心</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宁夏回族自治区动物疾病预防控制中心</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eastAsia="zh-CN"/>
        </w:rPr>
        <w:t>长期组织实施全区动物疫病强制免疫计划所积累的技术指导与现场管理经验，进行的系统性规范与提炼。</w:t>
      </w:r>
    </w:p>
    <w:p w14:paraId="66930B8F">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b/>
          <w:bCs/>
          <w:color w:val="auto"/>
          <w:sz w:val="32"/>
          <w:szCs w:val="32"/>
          <w:lang w:val="en-US" w:eastAsia="zh-CN"/>
        </w:rPr>
        <w:t>3.技术参考与规范依据</w:t>
      </w:r>
      <w:r>
        <w:rPr>
          <w:rFonts w:hint="default" w:ascii="Times New Roman" w:hAnsi="Times New Roman" w:eastAsia="仿宋_GB2312" w:cs="Times New Roman"/>
          <w:b/>
          <w:bCs/>
          <w:color w:val="auto"/>
          <w:sz w:val="32"/>
          <w:szCs w:val="32"/>
          <w:lang w:val="en-US" w:eastAsia="zh-CN"/>
        </w:rPr>
        <w:t>：</w:t>
      </w:r>
      <w:r>
        <w:rPr>
          <w:rFonts w:hint="eastAsia" w:ascii="Times New Roman" w:hAnsi="Times New Roman" w:eastAsia="仿宋_GB2312" w:cs="Times New Roman"/>
          <w:color w:val="auto"/>
          <w:sz w:val="32"/>
          <w:szCs w:val="32"/>
          <w:lang w:eastAsia="zh-CN"/>
        </w:rPr>
        <w:t>本标准是在</w:t>
      </w:r>
      <w:r>
        <w:rPr>
          <w:rFonts w:hint="default" w:ascii="Times New Roman" w:hAnsi="Times New Roman" w:eastAsia="仿宋_GB2312" w:cs="Times New Roman"/>
          <w:color w:val="auto"/>
          <w:sz w:val="32"/>
          <w:szCs w:val="32"/>
        </w:rPr>
        <w:t>前期研究</w:t>
      </w:r>
      <w:r>
        <w:rPr>
          <w:rFonts w:hint="eastAsia" w:ascii="Times New Roman" w:hAnsi="Times New Roman" w:eastAsia="仿宋_GB2312" w:cs="Times New Roman"/>
          <w:color w:val="auto"/>
          <w:sz w:val="32"/>
          <w:szCs w:val="32"/>
          <w:lang w:eastAsia="zh-CN"/>
        </w:rPr>
        <w:t>和广泛调查研究的基础上制定的，在制定过程中充分考虑当前免疫接种方法和操作，同时考虑最新技术水平，用清晰、准确、规范的语言，在本标准规定的范围内，按需要力求完整和易于理解、执行。</w:t>
      </w:r>
    </w:p>
    <w:p w14:paraId="205D2BEE">
      <w:pPr>
        <w:keepNext w:val="0"/>
        <w:keepLines w:val="0"/>
        <w:pageBreakBefore w:val="0"/>
        <w:kinsoku/>
        <w:wordWrap/>
        <w:overflowPunct/>
        <w:topLinePunct w:val="0"/>
        <w:autoSpaceDE/>
        <w:autoSpaceDN/>
        <w:bidi w:val="0"/>
        <w:adjustRightInd/>
        <w:snapToGrid/>
        <w:spacing w:line="600" w:lineRule="exact"/>
        <w:ind w:firstLine="643" w:firstLineChars="200"/>
        <w:textAlignment w:val="auto"/>
        <w:outlineLvl w:val="1"/>
        <w:rPr>
          <w:rFonts w:hint="eastAsia" w:ascii="楷体_GB2312" w:hAnsi="楷体_GB2312" w:eastAsia="楷体_GB2312" w:cs="楷体_GB2312"/>
          <w:b/>
          <w:bCs/>
          <w:color w:val="auto"/>
          <w:sz w:val="32"/>
          <w:szCs w:val="32"/>
        </w:rPr>
      </w:pPr>
      <w:bookmarkStart w:id="16" w:name="_Toc13275"/>
      <w:r>
        <w:rPr>
          <w:rFonts w:hint="eastAsia" w:ascii="楷体_GB2312" w:hAnsi="楷体_GB2312" w:eastAsia="楷体_GB2312" w:cs="楷体_GB2312"/>
          <w:b/>
          <w:bCs/>
          <w:color w:val="auto"/>
          <w:sz w:val="32"/>
          <w:szCs w:val="32"/>
        </w:rPr>
        <w:t>（三）与现行法律法规、标准的关系</w:t>
      </w:r>
      <w:bookmarkEnd w:id="16"/>
    </w:p>
    <w:p w14:paraId="5EFFE83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本标准</w:t>
      </w:r>
      <w:r>
        <w:rPr>
          <w:rFonts w:hint="eastAsia" w:ascii="Times New Roman" w:hAnsi="Times New Roman" w:eastAsia="仿宋_GB2312" w:cs="Times New Roman"/>
          <w:color w:val="auto"/>
          <w:sz w:val="32"/>
          <w:szCs w:val="32"/>
          <w:lang w:eastAsia="zh-CN"/>
        </w:rPr>
        <w:t>是生产管理技术类标准，符合《中华人民共和国标准化法》第十三条和第二十二条的规定。本标准</w:t>
      </w:r>
      <w:r>
        <w:rPr>
          <w:rFonts w:hint="default" w:ascii="Times New Roman" w:hAnsi="Times New Roman" w:eastAsia="仿宋_GB2312" w:cs="Times New Roman"/>
          <w:color w:val="auto"/>
          <w:sz w:val="32"/>
          <w:szCs w:val="32"/>
          <w:lang w:val="en-US" w:eastAsia="zh-CN"/>
        </w:rPr>
        <w:t>所有条款均以不违反《动物防疫法》《生物安全法》《兽药管理条例》等上位法律法规为前提，是对其中关于动物免疫、人员防护、医疗废弃物管理等原则性规定的具体化和操作化延伸，与现行法律法规体系高度协调、无缝衔接。</w:t>
      </w:r>
    </w:p>
    <w:p w14:paraId="44A7CAA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rPr>
      </w:pPr>
      <w:r>
        <w:rPr>
          <w:rFonts w:hint="default" w:ascii="Times New Roman" w:hAnsi="Times New Roman" w:eastAsia="仿宋_GB2312" w:cs="Times New Roman"/>
          <w:color w:val="auto"/>
          <w:sz w:val="32"/>
          <w:szCs w:val="32"/>
          <w:lang w:val="en-US" w:eastAsia="zh-CN"/>
        </w:rPr>
        <w:t>本标准在制定过程中，查新确认目前尚无专门针对牛羊布鲁氏菌病免疫操作技术的国家标准或行业标准。因此，本标准旨在填补该领域技术操作规范的空白。标准内容未直接引用其他标准作为规范性引用文件，但其技术规定（如消毒方法、无害化处理原则等）与国家发布的有关无害化处理、消毒技术等通用规范的精神保持一致，不存在冲突。</w:t>
      </w:r>
    </w:p>
    <w:p w14:paraId="44A24AB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本标准聚焦于“免疫操作”这一特定环节，与内容更为广泛的布病防控方案、诊断技术标准等文件形成互补。其核心特色在于针对</w:t>
      </w:r>
      <w:r>
        <w:rPr>
          <w:rFonts w:hint="eastAsia" w:ascii="Times New Roman" w:hAnsi="Times New Roman" w:eastAsia="仿宋_GB2312" w:cs="Times New Roman"/>
          <w:color w:val="auto"/>
          <w:sz w:val="32"/>
          <w:szCs w:val="32"/>
          <w:lang w:val="en-US" w:eastAsia="zh-CN"/>
        </w:rPr>
        <w:t>人兽共患传染病</w:t>
      </w:r>
      <w:r>
        <w:rPr>
          <w:rFonts w:hint="default" w:ascii="Times New Roman" w:hAnsi="Times New Roman" w:eastAsia="仿宋_GB2312" w:cs="Times New Roman"/>
          <w:color w:val="auto"/>
          <w:sz w:val="32"/>
          <w:szCs w:val="32"/>
          <w:lang w:val="en-US" w:eastAsia="zh-CN"/>
        </w:rPr>
        <w:t>活疫苗使用的特殊风险，构建了覆盖“免疫准备—免疫程序—免疫后处理—应急处置”的全链条、精细化操作规范与生物安全管理体系，具有鲜明的针对性、实用性和安全性导向。</w:t>
      </w:r>
    </w:p>
    <w:p w14:paraId="4762FC5C">
      <w:pPr>
        <w:keepNext w:val="0"/>
        <w:keepLines w:val="0"/>
        <w:pageBreakBefore w:val="0"/>
        <w:kinsoku/>
        <w:wordWrap/>
        <w:overflowPunct/>
        <w:topLinePunct w:val="0"/>
        <w:autoSpaceDE/>
        <w:autoSpaceDN/>
        <w:bidi w:val="0"/>
        <w:adjustRightInd/>
        <w:snapToGrid/>
        <w:spacing w:line="600" w:lineRule="exact"/>
        <w:ind w:firstLine="616" w:firstLineChars="200"/>
        <w:textAlignment w:val="auto"/>
        <w:outlineLvl w:val="0"/>
        <w:rPr>
          <w:rFonts w:hint="eastAsia" w:ascii="国标黑体" w:hAnsi="国标黑体" w:eastAsia="国标黑体" w:cs="国标黑体"/>
          <w:color w:val="auto"/>
          <w:spacing w:val="-6"/>
          <w:sz w:val="32"/>
          <w:szCs w:val="32"/>
        </w:rPr>
      </w:pPr>
      <w:bookmarkStart w:id="17" w:name="_Toc11321"/>
      <w:r>
        <w:rPr>
          <w:rFonts w:hint="eastAsia" w:ascii="国标黑体" w:hAnsi="国标黑体" w:eastAsia="国标黑体" w:cs="国标黑体"/>
          <w:color w:val="auto"/>
          <w:spacing w:val="-6"/>
          <w:sz w:val="32"/>
          <w:szCs w:val="32"/>
        </w:rPr>
        <w:t>五、主要条款的说明，主要技术指标、参数、实验验证的论述</w:t>
      </w:r>
      <w:bookmarkEnd w:id="17"/>
    </w:p>
    <w:p w14:paraId="450594FA">
      <w:pPr>
        <w:keepNext w:val="0"/>
        <w:keepLines w:val="0"/>
        <w:pageBreakBefore w:val="0"/>
        <w:kinsoku/>
        <w:wordWrap/>
        <w:overflowPunct/>
        <w:topLinePunct w:val="0"/>
        <w:autoSpaceDE/>
        <w:autoSpaceDN/>
        <w:bidi w:val="0"/>
        <w:adjustRightInd/>
        <w:snapToGrid/>
        <w:spacing w:line="600" w:lineRule="exact"/>
        <w:ind w:left="638" w:leftChars="304"/>
        <w:textAlignment w:val="auto"/>
        <w:outlineLvl w:val="1"/>
        <w:rPr>
          <w:rFonts w:hint="eastAsia" w:ascii="楷体_GB2312" w:hAnsi="楷体_GB2312" w:eastAsia="楷体_GB2312" w:cs="楷体_GB2312"/>
          <w:b/>
          <w:bCs/>
          <w:color w:val="auto"/>
          <w:sz w:val="32"/>
          <w:szCs w:val="32"/>
        </w:rPr>
      </w:pPr>
      <w:bookmarkStart w:id="18" w:name="_Toc28636"/>
      <w:r>
        <w:rPr>
          <w:rFonts w:hint="eastAsia" w:ascii="楷体_GB2312" w:hAnsi="楷体_GB2312" w:eastAsia="楷体_GB2312" w:cs="楷体_GB2312"/>
          <w:b/>
          <w:bCs/>
          <w:color w:val="auto"/>
          <w:sz w:val="32"/>
          <w:szCs w:val="32"/>
        </w:rPr>
        <w:t>（一）主要条款说明</w:t>
      </w:r>
      <w:bookmarkEnd w:id="18"/>
    </w:p>
    <w:p w14:paraId="7381955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1.免疫准备。规定了疫苗</w:t>
      </w:r>
      <w:r>
        <w:rPr>
          <w:rFonts w:hint="eastAsia" w:ascii="Times New Roman" w:hAnsi="Times New Roman" w:eastAsia="仿宋_GB2312" w:cs="Times New Roman"/>
          <w:color w:val="auto"/>
          <w:sz w:val="32"/>
          <w:szCs w:val="32"/>
          <w:lang w:val="en-US" w:eastAsia="zh-CN"/>
        </w:rPr>
        <w:t>选择及管理要求</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人员要求、物资准备及要求、场地消毒准备、注意事项等</w:t>
      </w:r>
      <w:r>
        <w:rPr>
          <w:rFonts w:hint="default" w:ascii="Times New Roman" w:hAnsi="Times New Roman" w:eastAsia="仿宋_GB2312" w:cs="Times New Roman"/>
          <w:color w:val="auto"/>
          <w:sz w:val="32"/>
          <w:szCs w:val="32"/>
          <w:lang w:val="en-US" w:eastAsia="zh-CN"/>
        </w:rPr>
        <w:t>。</w:t>
      </w:r>
    </w:p>
    <w:p w14:paraId="0CC3F9E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免疫程序。规定了个人防护、牛羊保定、局部消毒、免疫操作、佩戴免疫耳标与填报免疫档案等。</w:t>
      </w:r>
    </w:p>
    <w:p w14:paraId="2A123F2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免疫后</w:t>
      </w:r>
      <w:r>
        <w:rPr>
          <w:rFonts w:hint="eastAsia" w:ascii="Times New Roman" w:hAnsi="Times New Roman" w:eastAsia="仿宋_GB2312" w:cs="Times New Roman"/>
          <w:color w:val="auto"/>
          <w:sz w:val="32"/>
          <w:szCs w:val="32"/>
          <w:lang w:eastAsia="zh-CN"/>
        </w:rPr>
        <w:t>处理</w:t>
      </w:r>
      <w:r>
        <w:rPr>
          <w:rFonts w:hint="default" w:ascii="Times New Roman" w:hAnsi="Times New Roman" w:eastAsia="仿宋_GB2312" w:cs="Times New Roman"/>
          <w:color w:val="auto"/>
          <w:sz w:val="32"/>
          <w:szCs w:val="32"/>
          <w:lang w:eastAsia="zh-CN"/>
        </w:rPr>
        <w:t>。规定了</w:t>
      </w:r>
      <w:r>
        <w:rPr>
          <w:rFonts w:hint="eastAsia" w:ascii="Times New Roman" w:hAnsi="Times New Roman" w:eastAsia="仿宋_GB2312" w:cs="Times New Roman"/>
          <w:color w:val="auto"/>
          <w:sz w:val="32"/>
          <w:szCs w:val="32"/>
          <w:lang w:eastAsia="zh-CN"/>
        </w:rPr>
        <w:t>废弃物处处理、免疫器械和</w:t>
      </w:r>
      <w:r>
        <w:rPr>
          <w:rFonts w:hint="default" w:ascii="Times New Roman" w:hAnsi="Times New Roman" w:eastAsia="仿宋_GB2312" w:cs="Times New Roman"/>
          <w:color w:val="auto"/>
          <w:sz w:val="32"/>
          <w:szCs w:val="32"/>
          <w:lang w:eastAsia="zh-CN"/>
        </w:rPr>
        <w:t>个人防护用品消毒、人员消毒等。</w:t>
      </w:r>
    </w:p>
    <w:p w14:paraId="782513D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4.应急处置。规定了人员暴露处置、应激反应处置等。</w:t>
      </w:r>
    </w:p>
    <w:p w14:paraId="2481EA57">
      <w:pPr>
        <w:keepNext w:val="0"/>
        <w:keepLines w:val="0"/>
        <w:pageBreakBefore w:val="0"/>
        <w:kinsoku/>
        <w:wordWrap/>
        <w:overflowPunct/>
        <w:topLinePunct w:val="0"/>
        <w:autoSpaceDE/>
        <w:autoSpaceDN/>
        <w:bidi w:val="0"/>
        <w:adjustRightInd/>
        <w:snapToGrid/>
        <w:spacing w:line="600" w:lineRule="exact"/>
        <w:ind w:firstLine="643" w:firstLineChars="200"/>
        <w:textAlignment w:val="auto"/>
        <w:outlineLvl w:val="1"/>
        <w:rPr>
          <w:rFonts w:hint="default" w:ascii="Times New Roman" w:hAnsi="Times New Roman" w:eastAsia="仿宋_GB2312" w:cs="Times New Roman"/>
          <w:color w:val="auto"/>
          <w:sz w:val="32"/>
          <w:szCs w:val="32"/>
          <w:lang w:val="en-US" w:eastAsia="zh-CN"/>
        </w:rPr>
      </w:pPr>
      <w:bookmarkStart w:id="19" w:name="_Toc21866"/>
      <w:r>
        <w:rPr>
          <w:rFonts w:hint="eastAsia" w:ascii="楷体_GB2312" w:hAnsi="楷体_GB2312" w:eastAsia="楷体_GB2312" w:cs="楷体_GB2312"/>
          <w:b/>
          <w:bCs/>
          <w:color w:val="auto"/>
          <w:sz w:val="32"/>
          <w:szCs w:val="32"/>
        </w:rPr>
        <w:t>（二）主要技术指标、参数、试验验证的论述</w:t>
      </w:r>
      <w:bookmarkEnd w:id="19"/>
    </w:p>
    <w:p w14:paraId="54A1176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为验证标准的科学性与可行性，起草组在贺兰县、兴庆区、西吉县的8个乡镇、11个行政村和2个养殖园区，</w:t>
      </w:r>
      <w:r>
        <w:rPr>
          <w:rFonts w:hint="default" w:ascii="Times New Roman" w:hAnsi="Times New Roman" w:eastAsia="仿宋_GB2312" w:cs="Times New Roman"/>
          <w:color w:val="auto"/>
          <w:sz w:val="32"/>
          <w:szCs w:val="32"/>
          <w:lang w:eastAsia="zh-CN"/>
        </w:rPr>
        <w:t>对</w:t>
      </w:r>
      <w:r>
        <w:rPr>
          <w:rFonts w:hint="default" w:ascii="Times New Roman" w:hAnsi="Times New Roman" w:eastAsia="仿宋_GB2312" w:cs="Times New Roman"/>
          <w:color w:val="auto"/>
          <w:sz w:val="32"/>
          <w:szCs w:val="32"/>
          <w:highlight w:val="none"/>
          <w:lang w:eastAsia="zh-CN"/>
        </w:rPr>
        <w:t>宁夏鸿益程牧业有限公司等</w:t>
      </w:r>
      <w:r>
        <w:rPr>
          <w:rFonts w:hint="default" w:ascii="Times New Roman" w:hAnsi="Times New Roman"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eastAsia="zh-CN"/>
        </w:rPr>
        <w:t>个牛羊</w:t>
      </w:r>
      <w:r>
        <w:rPr>
          <w:rFonts w:hint="default" w:ascii="Times New Roman" w:hAnsi="Times New Roman" w:eastAsia="仿宋_GB2312" w:cs="Times New Roman"/>
          <w:color w:val="auto"/>
          <w:sz w:val="32"/>
          <w:szCs w:val="32"/>
          <w:highlight w:val="none"/>
          <w:lang w:val="en-US" w:eastAsia="zh-CN"/>
        </w:rPr>
        <w:t>规模</w:t>
      </w:r>
      <w:r>
        <w:rPr>
          <w:rFonts w:hint="default" w:ascii="Times New Roman" w:hAnsi="Times New Roman" w:eastAsia="仿宋_GB2312" w:cs="Times New Roman"/>
          <w:color w:val="auto"/>
          <w:sz w:val="32"/>
          <w:szCs w:val="32"/>
          <w:highlight w:val="none"/>
          <w:lang w:eastAsia="zh-CN"/>
        </w:rPr>
        <w:t>养殖场、</w:t>
      </w:r>
      <w:r>
        <w:rPr>
          <w:rFonts w:hint="default" w:ascii="Times New Roman" w:hAnsi="Times New Roman" w:eastAsia="仿宋_GB2312" w:cs="Times New Roman"/>
          <w:color w:val="auto"/>
          <w:sz w:val="32"/>
          <w:szCs w:val="32"/>
          <w:highlight w:val="none"/>
          <w:lang w:val="en-US" w:eastAsia="zh-CN"/>
        </w:rPr>
        <w:t>64个牛羊散养户</w:t>
      </w:r>
      <w:r>
        <w:rPr>
          <w:rFonts w:hint="default" w:ascii="Times New Roman" w:hAnsi="Times New Roman" w:eastAsia="仿宋_GB2312" w:cs="Times New Roman"/>
          <w:color w:val="auto"/>
          <w:sz w:val="32"/>
          <w:szCs w:val="32"/>
          <w:highlight w:val="none"/>
          <w:lang w:eastAsia="zh-CN"/>
        </w:rPr>
        <w:t>和</w:t>
      </w:r>
      <w:r>
        <w:rPr>
          <w:rFonts w:hint="default" w:ascii="Times New Roman" w:hAnsi="Times New Roman" w:eastAsia="仿宋_GB2312" w:cs="Times New Roman"/>
          <w:color w:val="auto"/>
          <w:sz w:val="32"/>
          <w:szCs w:val="32"/>
          <w:highlight w:val="none"/>
          <w:lang w:val="en-US" w:eastAsia="zh-CN"/>
        </w:rPr>
        <w:t>5个</w:t>
      </w:r>
      <w:r>
        <w:rPr>
          <w:rFonts w:hint="default" w:ascii="Times New Roman" w:hAnsi="Times New Roman" w:eastAsia="仿宋_GB2312" w:cs="Times New Roman"/>
          <w:color w:val="auto"/>
          <w:sz w:val="32"/>
          <w:szCs w:val="32"/>
          <w:highlight w:val="none"/>
          <w:lang w:eastAsia="zh-CN"/>
        </w:rPr>
        <w:t>社会化服务组织（</w:t>
      </w:r>
      <w:r>
        <w:rPr>
          <w:rFonts w:hint="default" w:ascii="Times New Roman" w:hAnsi="Times New Roman" w:eastAsia="仿宋_GB2312" w:cs="Times New Roman"/>
          <w:color w:val="auto"/>
          <w:sz w:val="32"/>
          <w:szCs w:val="32"/>
          <w:highlight w:val="none"/>
          <w:lang w:val="en-US" w:eastAsia="zh-CN"/>
        </w:rPr>
        <w:t>52名防疫员</w:t>
      </w:r>
      <w:r>
        <w:rPr>
          <w:rFonts w:hint="default" w:ascii="Times New Roman" w:hAnsi="Times New Roman" w:eastAsia="仿宋_GB2312" w:cs="Times New Roman"/>
          <w:color w:val="auto"/>
          <w:sz w:val="32"/>
          <w:szCs w:val="32"/>
          <w:highlight w:val="none"/>
          <w:lang w:eastAsia="zh-CN"/>
        </w:rPr>
        <w:t>）的管理情况评估。</w:t>
      </w:r>
      <w:r>
        <w:rPr>
          <w:rFonts w:hint="default" w:ascii="Times New Roman" w:hAnsi="Times New Roman" w:eastAsia="仿宋_GB2312" w:cs="Times New Roman"/>
          <w:color w:val="auto"/>
          <w:sz w:val="32"/>
          <w:szCs w:val="32"/>
          <w:lang w:val="en-US" w:eastAsia="zh-CN"/>
        </w:rPr>
        <w:t>管理情况评估结果</w:t>
      </w:r>
      <w:r>
        <w:rPr>
          <w:rFonts w:hint="eastAsia" w:ascii="Times New Roman" w:hAnsi="Times New Roman" w:eastAsia="仿宋_GB2312" w:cs="Times New Roman"/>
          <w:color w:val="auto"/>
          <w:sz w:val="32"/>
          <w:szCs w:val="32"/>
          <w:lang w:val="en-US" w:eastAsia="zh-CN"/>
        </w:rPr>
        <w:t>及整改措施详见表1，在人员知识层面普遍存在对布病危害、感染途径及防护知识认知不足的问题；在操作规范层面不同程度</w:t>
      </w:r>
      <w:r>
        <w:rPr>
          <w:rFonts w:hint="default" w:ascii="Times New Roman" w:hAnsi="Times New Roman" w:eastAsia="仿宋_GB2312" w:cs="Times New Roman"/>
          <w:color w:val="auto"/>
          <w:sz w:val="32"/>
          <w:szCs w:val="32"/>
          <w:lang w:val="en-US" w:eastAsia="zh-CN"/>
        </w:rPr>
        <w:t>存在疫苗保存不当、接种方式错误、器械消毒不严、滥用抗生素、个人防护缺失、无应急处理方案等多项不规范操作。</w:t>
      </w:r>
    </w:p>
    <w:p w14:paraId="4282A0D8">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 xml:space="preserve">表 1  </w:t>
      </w:r>
      <w:r>
        <w:rPr>
          <w:rFonts w:hint="eastAsia" w:ascii="宋体" w:hAnsi="宋体" w:eastAsia="宋体" w:cs="宋体"/>
          <w:b/>
          <w:bCs/>
          <w:color w:val="auto"/>
          <w:sz w:val="24"/>
          <w:szCs w:val="24"/>
          <w:highlight w:val="none"/>
          <w:lang w:val="en-US" w:eastAsia="zh-CN"/>
        </w:rPr>
        <w:t>防疫</w:t>
      </w:r>
      <w:r>
        <w:rPr>
          <w:rFonts w:hint="eastAsia" w:ascii="宋体" w:hAnsi="宋体" w:eastAsia="宋体" w:cs="宋体"/>
          <w:b/>
          <w:bCs/>
          <w:color w:val="auto"/>
          <w:sz w:val="24"/>
          <w:szCs w:val="24"/>
          <w:highlight w:val="none"/>
          <w:lang w:eastAsia="zh-CN"/>
        </w:rPr>
        <w:t>主要问题统计表</w:t>
      </w:r>
    </w:p>
    <w:tbl>
      <w:tblPr>
        <w:tblStyle w:val="9"/>
        <w:tblW w:w="80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6"/>
        <w:gridCol w:w="5910"/>
        <w:gridCol w:w="1183"/>
      </w:tblGrid>
      <w:tr w14:paraId="4C514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tcBorders>
              <w:top w:val="single" w:color="000000" w:sz="4" w:space="0"/>
              <w:left w:val="single" w:color="000000" w:sz="4" w:space="0"/>
              <w:bottom w:val="single" w:color="000000" w:sz="4" w:space="0"/>
              <w:right w:val="single" w:color="000000" w:sz="4" w:space="0"/>
            </w:tcBorders>
            <w:noWrap w:val="0"/>
            <w:vAlign w:val="center"/>
          </w:tcPr>
          <w:p w14:paraId="54FA03B8">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b/>
                <w:bCs/>
                <w:i w:val="0"/>
                <w:iCs w:val="0"/>
                <w:color w:val="auto"/>
                <w:sz w:val="18"/>
                <w:szCs w:val="18"/>
                <w:u w:val="none"/>
              </w:rPr>
            </w:pPr>
            <w:r>
              <w:rPr>
                <w:rStyle w:val="14"/>
                <w:rFonts w:hint="eastAsia" w:ascii="宋体" w:hAnsi="宋体" w:eastAsia="宋体" w:cs="宋体"/>
                <w:color w:val="auto"/>
                <w:sz w:val="18"/>
                <w:szCs w:val="18"/>
                <w:lang w:val="en-US" w:eastAsia="zh-CN" w:bidi="ar"/>
              </w:rPr>
              <w:t>环节</w:t>
            </w: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54A869B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主要问题</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75A8788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整改措施</w:t>
            </w:r>
          </w:p>
        </w:tc>
      </w:tr>
      <w:tr w14:paraId="3A927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restart"/>
            <w:tcBorders>
              <w:top w:val="single" w:color="000000" w:sz="4" w:space="0"/>
              <w:left w:val="single" w:color="000000" w:sz="4" w:space="0"/>
              <w:right w:val="single" w:color="000000" w:sz="4" w:space="0"/>
            </w:tcBorders>
            <w:noWrap w:val="0"/>
            <w:vAlign w:val="center"/>
          </w:tcPr>
          <w:p w14:paraId="25E20E1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auto"/>
                <w:sz w:val="18"/>
                <w:szCs w:val="18"/>
                <w:u w:val="none"/>
              </w:rPr>
            </w:pPr>
            <w:r>
              <w:rPr>
                <w:rStyle w:val="15"/>
                <w:rFonts w:hint="eastAsia" w:ascii="宋体" w:hAnsi="宋体" w:eastAsia="宋体" w:cs="宋体"/>
                <w:color w:val="auto"/>
                <w:sz w:val="18"/>
                <w:szCs w:val="18"/>
                <w:lang w:val="en-US" w:eastAsia="zh-CN" w:bidi="ar"/>
              </w:rPr>
              <w:t>牛羊养殖场户人员知识方面</w:t>
            </w:r>
          </w:p>
        </w:tc>
        <w:tc>
          <w:tcPr>
            <w:tcW w:w="5910" w:type="dxa"/>
            <w:tcBorders>
              <w:top w:val="nil"/>
              <w:left w:val="nil"/>
              <w:bottom w:val="nil"/>
              <w:right w:val="nil"/>
            </w:tcBorders>
            <w:noWrap w:val="0"/>
            <w:vAlign w:val="center"/>
          </w:tcPr>
          <w:p w14:paraId="69875E40">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59.91%的养殖户不知晓布病感染的动物；</w:t>
            </w:r>
          </w:p>
        </w:tc>
        <w:tc>
          <w:tcPr>
            <w:tcW w:w="1183" w:type="dxa"/>
            <w:vMerge w:val="restart"/>
            <w:tcBorders>
              <w:top w:val="single" w:color="000000" w:sz="4" w:space="0"/>
              <w:left w:val="single" w:color="000000" w:sz="4" w:space="0"/>
              <w:right w:val="single" w:color="000000" w:sz="4" w:space="0"/>
            </w:tcBorders>
            <w:noWrap w:val="0"/>
            <w:vAlign w:val="center"/>
          </w:tcPr>
          <w:p w14:paraId="4A6484FA">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eastAsia="zh-CN"/>
              </w:rPr>
            </w:pPr>
            <w:r>
              <w:rPr>
                <w:rFonts w:hint="eastAsia" w:ascii="宋体" w:hAnsi="宋体" w:eastAsia="宋体" w:cs="宋体"/>
                <w:i w:val="0"/>
                <w:iCs w:val="0"/>
                <w:color w:val="auto"/>
                <w:sz w:val="18"/>
                <w:szCs w:val="18"/>
                <w:u w:val="none"/>
                <w:lang w:eastAsia="zh-CN"/>
              </w:rPr>
              <w:t>加强宣传指导工作</w:t>
            </w:r>
          </w:p>
        </w:tc>
      </w:tr>
      <w:tr w14:paraId="66099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6BEBAA43">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6BFE67F4">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41.14%的养殖户不知晓人患布病的症状；</w:t>
            </w:r>
          </w:p>
        </w:tc>
        <w:tc>
          <w:tcPr>
            <w:tcW w:w="1183" w:type="dxa"/>
            <w:vMerge w:val="continue"/>
            <w:tcBorders>
              <w:left w:val="single" w:color="000000" w:sz="4" w:space="0"/>
              <w:right w:val="single" w:color="000000" w:sz="4" w:space="0"/>
            </w:tcBorders>
            <w:noWrap w:val="0"/>
            <w:vAlign w:val="center"/>
          </w:tcPr>
          <w:p w14:paraId="40E6CF14">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5876B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3C20AB31">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1FDA5ED7">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48.78%的养殖户不知晓动物感染布病的症状；</w:t>
            </w:r>
          </w:p>
        </w:tc>
        <w:tc>
          <w:tcPr>
            <w:tcW w:w="1183" w:type="dxa"/>
            <w:vMerge w:val="continue"/>
            <w:tcBorders>
              <w:left w:val="single" w:color="000000" w:sz="4" w:space="0"/>
              <w:right w:val="single" w:color="000000" w:sz="4" w:space="0"/>
            </w:tcBorders>
            <w:noWrap w:val="0"/>
            <w:vAlign w:val="center"/>
          </w:tcPr>
          <w:p w14:paraId="1EE90AC1">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63CEB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0C70FF98">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730EB235">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35.76%的养殖户不知晓那些行为可能感染布病；</w:t>
            </w:r>
          </w:p>
        </w:tc>
        <w:tc>
          <w:tcPr>
            <w:tcW w:w="1183" w:type="dxa"/>
            <w:vMerge w:val="continue"/>
            <w:tcBorders>
              <w:left w:val="single" w:color="000000" w:sz="4" w:space="0"/>
              <w:right w:val="single" w:color="000000" w:sz="4" w:space="0"/>
            </w:tcBorders>
            <w:noWrap w:val="0"/>
            <w:vAlign w:val="center"/>
          </w:tcPr>
          <w:p w14:paraId="1BC5EC85">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62C7C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2759A915">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744677C4">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sz w:val="18"/>
                <w:szCs w:val="18"/>
                <w:u w:val="none"/>
                <w:lang w:val="en-US" w:eastAsia="zh-CN"/>
              </w:rPr>
              <w:t>37.76%的养殖户不知晓接触布病病人是否会感染；</w:t>
            </w:r>
          </w:p>
        </w:tc>
        <w:tc>
          <w:tcPr>
            <w:tcW w:w="1183" w:type="dxa"/>
            <w:vMerge w:val="continue"/>
            <w:tcBorders>
              <w:left w:val="single" w:color="000000" w:sz="4" w:space="0"/>
              <w:right w:val="single" w:color="000000" w:sz="4" w:space="0"/>
            </w:tcBorders>
            <w:noWrap w:val="0"/>
            <w:vAlign w:val="center"/>
          </w:tcPr>
          <w:p w14:paraId="05533A87">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20A46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354FD85E">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05504DA3">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25.17%的养殖户不知晓布病通过及时规范治疗是否能治愈；</w:t>
            </w:r>
          </w:p>
        </w:tc>
        <w:tc>
          <w:tcPr>
            <w:tcW w:w="1183" w:type="dxa"/>
            <w:vMerge w:val="continue"/>
            <w:tcBorders>
              <w:left w:val="single" w:color="000000" w:sz="4" w:space="0"/>
              <w:right w:val="single" w:color="000000" w:sz="4" w:space="0"/>
            </w:tcBorders>
            <w:noWrap w:val="0"/>
            <w:vAlign w:val="center"/>
          </w:tcPr>
          <w:p w14:paraId="15B98967">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763B8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160051BA">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5E6ACB20">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21.68%的养殖户不知晓布病不及时治疗会怎样；</w:t>
            </w:r>
          </w:p>
        </w:tc>
        <w:tc>
          <w:tcPr>
            <w:tcW w:w="1183" w:type="dxa"/>
            <w:vMerge w:val="continue"/>
            <w:tcBorders>
              <w:left w:val="single" w:color="000000" w:sz="4" w:space="0"/>
              <w:right w:val="single" w:color="000000" w:sz="4" w:space="0"/>
            </w:tcBorders>
            <w:noWrap w:val="0"/>
            <w:vAlign w:val="center"/>
          </w:tcPr>
          <w:p w14:paraId="5C994257">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51C99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0D6767EB">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27334732">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26.53%的养殖户不认为自己是患病高风险人群；</w:t>
            </w:r>
          </w:p>
        </w:tc>
        <w:tc>
          <w:tcPr>
            <w:tcW w:w="1183" w:type="dxa"/>
            <w:vMerge w:val="continue"/>
            <w:tcBorders>
              <w:left w:val="single" w:color="000000" w:sz="4" w:space="0"/>
              <w:right w:val="single" w:color="000000" w:sz="4" w:space="0"/>
            </w:tcBorders>
            <w:noWrap w:val="0"/>
            <w:vAlign w:val="center"/>
          </w:tcPr>
          <w:p w14:paraId="2AC4269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4A1C5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6D925702">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73EE1DCF">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color w:val="auto"/>
                <w:sz w:val="18"/>
                <w:szCs w:val="18"/>
                <w:lang w:val="en-US" w:eastAsia="zh-CN"/>
              </w:rPr>
            </w:pPr>
            <w:r>
              <w:rPr>
                <w:rFonts w:hint="eastAsia" w:ascii="宋体" w:hAnsi="宋体" w:eastAsia="宋体" w:cs="宋体"/>
                <w:i w:val="0"/>
                <w:iCs w:val="0"/>
                <w:color w:val="auto"/>
                <w:sz w:val="18"/>
                <w:szCs w:val="18"/>
                <w:u w:val="none"/>
                <w:lang w:val="en-US" w:eastAsia="zh-CN"/>
              </w:rPr>
              <w:t>54.16%的养殖户在喂养等中不做防护；</w:t>
            </w:r>
          </w:p>
        </w:tc>
        <w:tc>
          <w:tcPr>
            <w:tcW w:w="1183" w:type="dxa"/>
            <w:vMerge w:val="continue"/>
            <w:tcBorders>
              <w:left w:val="single" w:color="000000" w:sz="4" w:space="0"/>
              <w:right w:val="single" w:color="000000" w:sz="4" w:space="0"/>
            </w:tcBorders>
            <w:noWrap w:val="0"/>
            <w:vAlign w:val="center"/>
          </w:tcPr>
          <w:p w14:paraId="35BD909F">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47D00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1A96809C">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353ECAD7">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67.62%的养殖户在屠宰时不做防护；</w:t>
            </w:r>
          </w:p>
        </w:tc>
        <w:tc>
          <w:tcPr>
            <w:tcW w:w="1183" w:type="dxa"/>
            <w:vMerge w:val="continue"/>
            <w:tcBorders>
              <w:left w:val="single" w:color="000000" w:sz="4" w:space="0"/>
              <w:right w:val="single" w:color="000000" w:sz="4" w:space="0"/>
            </w:tcBorders>
            <w:noWrap w:val="0"/>
            <w:vAlign w:val="center"/>
          </w:tcPr>
          <w:p w14:paraId="7C47C0B0">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6E0E1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7CF59364">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1B75E00C">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47.03%的养殖户在接羔过程中不做防护；</w:t>
            </w:r>
          </w:p>
        </w:tc>
        <w:tc>
          <w:tcPr>
            <w:tcW w:w="1183" w:type="dxa"/>
            <w:vMerge w:val="continue"/>
            <w:tcBorders>
              <w:left w:val="single" w:color="000000" w:sz="4" w:space="0"/>
              <w:right w:val="single" w:color="000000" w:sz="4" w:space="0"/>
            </w:tcBorders>
            <w:noWrap w:val="0"/>
            <w:vAlign w:val="center"/>
          </w:tcPr>
          <w:p w14:paraId="18ADEAAF">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6CD25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303255F4">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014B5198">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47.68%的养殖户在处理流产物过程中不做防护；</w:t>
            </w:r>
          </w:p>
        </w:tc>
        <w:tc>
          <w:tcPr>
            <w:tcW w:w="1183" w:type="dxa"/>
            <w:vMerge w:val="continue"/>
            <w:tcBorders>
              <w:left w:val="single" w:color="000000" w:sz="4" w:space="0"/>
              <w:right w:val="single" w:color="000000" w:sz="4" w:space="0"/>
            </w:tcBorders>
            <w:noWrap w:val="0"/>
            <w:vAlign w:val="center"/>
          </w:tcPr>
          <w:p w14:paraId="573698CF">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009FE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bottom w:val="single" w:color="000000" w:sz="4" w:space="0"/>
              <w:right w:val="single" w:color="000000" w:sz="4" w:space="0"/>
            </w:tcBorders>
            <w:noWrap w:val="0"/>
            <w:vAlign w:val="center"/>
          </w:tcPr>
          <w:p w14:paraId="2FE5C38E">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5F36D60E">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47.08%的养殖户在接触病死畜过程中不做防护。</w:t>
            </w:r>
          </w:p>
        </w:tc>
        <w:tc>
          <w:tcPr>
            <w:tcW w:w="1183" w:type="dxa"/>
            <w:vMerge w:val="continue"/>
            <w:tcBorders>
              <w:left w:val="single" w:color="000000" w:sz="4" w:space="0"/>
              <w:bottom w:val="single" w:color="000000" w:sz="4" w:space="0"/>
              <w:right w:val="single" w:color="000000" w:sz="4" w:space="0"/>
            </w:tcBorders>
            <w:noWrap w:val="0"/>
            <w:vAlign w:val="center"/>
          </w:tcPr>
          <w:p w14:paraId="7D99D892">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558C0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restart"/>
            <w:tcBorders>
              <w:left w:val="single" w:color="000000" w:sz="4" w:space="0"/>
              <w:right w:val="single" w:color="000000" w:sz="4" w:space="0"/>
            </w:tcBorders>
            <w:noWrap w:val="0"/>
            <w:vAlign w:val="center"/>
          </w:tcPr>
          <w:p w14:paraId="24FB245F">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r>
              <w:rPr>
                <w:rStyle w:val="15"/>
                <w:rFonts w:hint="eastAsia" w:ascii="宋体" w:hAnsi="宋体" w:eastAsia="宋体" w:cs="宋体"/>
                <w:color w:val="auto"/>
                <w:sz w:val="18"/>
                <w:szCs w:val="18"/>
                <w:lang w:val="en-US" w:eastAsia="zh-CN" w:bidi="ar"/>
              </w:rPr>
              <w:t>牛羊养殖场户免疫操作方面</w:t>
            </w: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7FFBD41B">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19.23%的养殖场户在免疫工作中存在用疫苗拌料、饮水的情况；</w:t>
            </w:r>
          </w:p>
        </w:tc>
        <w:tc>
          <w:tcPr>
            <w:tcW w:w="1183" w:type="dxa"/>
            <w:vMerge w:val="restart"/>
            <w:tcBorders>
              <w:left w:val="single" w:color="000000" w:sz="4" w:space="0"/>
              <w:right w:val="single" w:color="000000" w:sz="4" w:space="0"/>
            </w:tcBorders>
            <w:noWrap w:val="0"/>
            <w:vAlign w:val="center"/>
          </w:tcPr>
          <w:p w14:paraId="4E1A5142">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eastAsia="zh-CN"/>
              </w:rPr>
            </w:pPr>
            <w:r>
              <w:rPr>
                <w:rFonts w:hint="eastAsia" w:ascii="宋体" w:hAnsi="宋体" w:eastAsia="宋体" w:cs="宋体"/>
                <w:i w:val="0"/>
                <w:iCs w:val="0"/>
                <w:color w:val="auto"/>
                <w:sz w:val="18"/>
                <w:szCs w:val="18"/>
                <w:u w:val="none"/>
                <w:lang w:eastAsia="zh-CN"/>
              </w:rPr>
              <w:t>限令整改</w:t>
            </w:r>
          </w:p>
        </w:tc>
      </w:tr>
      <w:tr w14:paraId="5E51D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648E2E67">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1AA3442F">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22.12%的养殖场户使用了错误的接种方式；</w:t>
            </w:r>
          </w:p>
        </w:tc>
        <w:tc>
          <w:tcPr>
            <w:tcW w:w="1183" w:type="dxa"/>
            <w:vMerge w:val="continue"/>
            <w:tcBorders>
              <w:left w:val="single" w:color="000000" w:sz="4" w:space="0"/>
              <w:right w:val="single" w:color="000000" w:sz="4" w:space="0"/>
            </w:tcBorders>
            <w:noWrap w:val="0"/>
            <w:vAlign w:val="center"/>
          </w:tcPr>
          <w:p w14:paraId="5A32381C">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5518F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2AD48EB7">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2601B5DE">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4.8%的养殖场户把布病疫苗放入生活用冰箱保存；</w:t>
            </w:r>
          </w:p>
        </w:tc>
        <w:tc>
          <w:tcPr>
            <w:tcW w:w="1183" w:type="dxa"/>
            <w:vMerge w:val="continue"/>
            <w:tcBorders>
              <w:left w:val="single" w:color="000000" w:sz="4" w:space="0"/>
              <w:right w:val="single" w:color="000000" w:sz="4" w:space="0"/>
            </w:tcBorders>
            <w:noWrap w:val="0"/>
            <w:vAlign w:val="center"/>
          </w:tcPr>
          <w:p w14:paraId="3BEB33C7">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2CC58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7B727908">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1E41BFE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31.73%的养殖场户在免疫接种前3日及2周后使用抗生素；</w:t>
            </w:r>
          </w:p>
        </w:tc>
        <w:tc>
          <w:tcPr>
            <w:tcW w:w="1183" w:type="dxa"/>
            <w:vMerge w:val="continue"/>
            <w:tcBorders>
              <w:left w:val="single" w:color="000000" w:sz="4" w:space="0"/>
              <w:right w:val="single" w:color="000000" w:sz="4" w:space="0"/>
            </w:tcBorders>
            <w:noWrap w:val="0"/>
            <w:vAlign w:val="center"/>
          </w:tcPr>
          <w:p w14:paraId="6DEDA063">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28B46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5242A98B">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26EFBBFA">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43.27%的养殖场户存在注射器、针头、冷藏箱等防疫用品不消毒、随意摆放的情况；</w:t>
            </w:r>
          </w:p>
        </w:tc>
        <w:tc>
          <w:tcPr>
            <w:tcW w:w="1183" w:type="dxa"/>
            <w:vMerge w:val="continue"/>
            <w:tcBorders>
              <w:left w:val="single" w:color="000000" w:sz="4" w:space="0"/>
              <w:right w:val="single" w:color="000000" w:sz="4" w:space="0"/>
            </w:tcBorders>
            <w:noWrap w:val="0"/>
            <w:vAlign w:val="center"/>
          </w:tcPr>
          <w:p w14:paraId="601DCFC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6211D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1A94E481">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5F72502D">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48.08%的养殖场户存在消毒药品单一、不按规定比例配置的问题。</w:t>
            </w:r>
          </w:p>
        </w:tc>
        <w:tc>
          <w:tcPr>
            <w:tcW w:w="1183" w:type="dxa"/>
            <w:vMerge w:val="continue"/>
            <w:tcBorders>
              <w:left w:val="single" w:color="000000" w:sz="4" w:space="0"/>
              <w:right w:val="single" w:color="000000" w:sz="4" w:space="0"/>
            </w:tcBorders>
            <w:noWrap w:val="0"/>
            <w:vAlign w:val="center"/>
          </w:tcPr>
          <w:p w14:paraId="44421F6A">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1294B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30F6E974">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00381D7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49.04%的养殖场户未准备免疫应激反应急救药品；</w:t>
            </w:r>
          </w:p>
        </w:tc>
        <w:tc>
          <w:tcPr>
            <w:tcW w:w="1183" w:type="dxa"/>
            <w:vMerge w:val="continue"/>
            <w:tcBorders>
              <w:left w:val="single" w:color="000000" w:sz="4" w:space="0"/>
              <w:right w:val="single" w:color="000000" w:sz="4" w:space="0"/>
            </w:tcBorders>
            <w:noWrap w:val="0"/>
            <w:vAlign w:val="center"/>
          </w:tcPr>
          <w:p w14:paraId="102304A5">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1906C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10487B69">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0CAA1196">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58.65%的养殖场户储存的个人防护用品过期或数量不足；</w:t>
            </w:r>
          </w:p>
        </w:tc>
        <w:tc>
          <w:tcPr>
            <w:tcW w:w="1183" w:type="dxa"/>
            <w:vMerge w:val="continue"/>
            <w:tcBorders>
              <w:left w:val="single" w:color="000000" w:sz="4" w:space="0"/>
              <w:right w:val="single" w:color="000000" w:sz="4" w:space="0"/>
            </w:tcBorders>
            <w:noWrap w:val="0"/>
            <w:vAlign w:val="center"/>
          </w:tcPr>
          <w:p w14:paraId="65837A3F">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7E6B3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5AE5FD50">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427EC90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67.31%的养殖场户在免疫前不进行压尘消毒等工作；</w:t>
            </w:r>
          </w:p>
        </w:tc>
        <w:tc>
          <w:tcPr>
            <w:tcW w:w="1183" w:type="dxa"/>
            <w:vMerge w:val="continue"/>
            <w:tcBorders>
              <w:left w:val="single" w:color="000000" w:sz="4" w:space="0"/>
              <w:right w:val="single" w:color="000000" w:sz="4" w:space="0"/>
            </w:tcBorders>
            <w:noWrap w:val="0"/>
            <w:vAlign w:val="center"/>
          </w:tcPr>
          <w:p w14:paraId="762D4CF8">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1A2BF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5F5E854B">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5DBC13AE">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58.65%的养殖场户个人防护用品使用不规范，消毒不严格；</w:t>
            </w:r>
          </w:p>
        </w:tc>
        <w:tc>
          <w:tcPr>
            <w:tcW w:w="1183" w:type="dxa"/>
            <w:vMerge w:val="continue"/>
            <w:tcBorders>
              <w:left w:val="single" w:color="000000" w:sz="4" w:space="0"/>
              <w:right w:val="single" w:color="000000" w:sz="4" w:space="0"/>
            </w:tcBorders>
            <w:noWrap w:val="0"/>
            <w:vAlign w:val="center"/>
          </w:tcPr>
          <w:p w14:paraId="10F29B4D">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67A17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5102C752">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5A88721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19.23%的养殖场户在口服免疫、皮下注射等操作不规范；</w:t>
            </w:r>
          </w:p>
        </w:tc>
        <w:tc>
          <w:tcPr>
            <w:tcW w:w="1183" w:type="dxa"/>
            <w:vMerge w:val="continue"/>
            <w:tcBorders>
              <w:left w:val="single" w:color="000000" w:sz="4" w:space="0"/>
              <w:right w:val="single" w:color="000000" w:sz="4" w:space="0"/>
            </w:tcBorders>
            <w:noWrap w:val="0"/>
            <w:vAlign w:val="center"/>
          </w:tcPr>
          <w:p w14:paraId="02AAB49B">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4E767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71D0B9CA">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4834A081">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77.88%的养殖场户未制定人员暴露处置、应激反应处置方案；</w:t>
            </w:r>
          </w:p>
        </w:tc>
        <w:tc>
          <w:tcPr>
            <w:tcW w:w="1183" w:type="dxa"/>
            <w:vMerge w:val="continue"/>
            <w:tcBorders>
              <w:left w:val="single" w:color="000000" w:sz="4" w:space="0"/>
              <w:right w:val="single" w:color="000000" w:sz="4" w:space="0"/>
            </w:tcBorders>
            <w:noWrap w:val="0"/>
            <w:vAlign w:val="center"/>
          </w:tcPr>
          <w:p w14:paraId="58F2C636">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1694F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bottom w:val="single" w:color="000000" w:sz="4" w:space="0"/>
              <w:right w:val="single" w:color="000000" w:sz="4" w:space="0"/>
            </w:tcBorders>
            <w:noWrap w:val="0"/>
            <w:vAlign w:val="center"/>
          </w:tcPr>
          <w:p w14:paraId="7E07C305">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auto"/>
                <w:sz w:val="18"/>
                <w:szCs w:val="18"/>
                <w:u w:val="none"/>
              </w:rPr>
            </w:pPr>
          </w:p>
        </w:tc>
        <w:tc>
          <w:tcPr>
            <w:tcW w:w="5910" w:type="dxa"/>
            <w:tcBorders>
              <w:top w:val="single" w:color="000000" w:sz="4" w:space="0"/>
              <w:left w:val="single" w:color="000000" w:sz="4" w:space="0"/>
              <w:bottom w:val="single" w:color="000000" w:sz="4" w:space="0"/>
              <w:right w:val="single" w:color="000000" w:sz="4" w:space="0"/>
            </w:tcBorders>
            <w:noWrap w:val="0"/>
            <w:vAlign w:val="center"/>
          </w:tcPr>
          <w:p w14:paraId="24751FAE">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58.65%的养殖场户在免疫后，不做牛羊免疫应激反应观察。</w:t>
            </w:r>
          </w:p>
        </w:tc>
        <w:tc>
          <w:tcPr>
            <w:tcW w:w="1183" w:type="dxa"/>
            <w:vMerge w:val="continue"/>
            <w:tcBorders>
              <w:left w:val="single" w:color="000000" w:sz="4" w:space="0"/>
              <w:bottom w:val="single" w:color="000000" w:sz="4" w:space="0"/>
              <w:right w:val="single" w:color="000000" w:sz="4" w:space="0"/>
            </w:tcBorders>
            <w:noWrap w:val="0"/>
            <w:vAlign w:val="center"/>
          </w:tcPr>
          <w:p w14:paraId="20C4D895">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0612F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restart"/>
            <w:tcBorders>
              <w:top w:val="single" w:color="000000" w:sz="4" w:space="0"/>
              <w:left w:val="single" w:color="000000" w:sz="4" w:space="0"/>
              <w:right w:val="single" w:color="000000" w:sz="4" w:space="0"/>
            </w:tcBorders>
            <w:noWrap w:val="0"/>
            <w:vAlign w:val="center"/>
          </w:tcPr>
          <w:p w14:paraId="51D9308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auto"/>
                <w:sz w:val="18"/>
                <w:szCs w:val="18"/>
                <w:u w:val="none"/>
              </w:rPr>
            </w:pPr>
            <w:r>
              <w:rPr>
                <w:rStyle w:val="15"/>
                <w:rFonts w:hint="eastAsia" w:ascii="宋体" w:hAnsi="宋体" w:eastAsia="宋体" w:cs="宋体"/>
                <w:color w:val="auto"/>
                <w:sz w:val="18"/>
                <w:szCs w:val="18"/>
                <w:lang w:val="en-US" w:eastAsia="zh-CN" w:bidi="ar"/>
              </w:rPr>
              <w:t>社会化服务组织人员培训及硬件设施方面</w:t>
            </w:r>
          </w:p>
        </w:tc>
        <w:tc>
          <w:tcPr>
            <w:tcW w:w="5910" w:type="dxa"/>
            <w:tcBorders>
              <w:top w:val="single" w:color="000000" w:sz="4" w:space="0"/>
              <w:left w:val="single" w:color="000000" w:sz="4" w:space="0"/>
              <w:bottom w:val="single" w:color="auto" w:sz="4" w:space="0"/>
              <w:right w:val="single" w:color="000000" w:sz="4" w:space="0"/>
            </w:tcBorders>
            <w:noWrap w:val="0"/>
            <w:vAlign w:val="center"/>
          </w:tcPr>
          <w:p w14:paraId="3A1FFFFA">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80%的社会化服务组织未建立员工培训计划、制度等；</w:t>
            </w:r>
          </w:p>
        </w:tc>
        <w:tc>
          <w:tcPr>
            <w:tcW w:w="1183" w:type="dxa"/>
            <w:vMerge w:val="restart"/>
            <w:tcBorders>
              <w:top w:val="single" w:color="000000" w:sz="4" w:space="0"/>
              <w:left w:val="single" w:color="000000" w:sz="4" w:space="0"/>
              <w:right w:val="single" w:color="000000" w:sz="4" w:space="0"/>
            </w:tcBorders>
            <w:noWrap w:val="0"/>
            <w:vAlign w:val="center"/>
          </w:tcPr>
          <w:p w14:paraId="0BB80EA1">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eastAsia="zh-CN"/>
              </w:rPr>
            </w:pPr>
            <w:r>
              <w:rPr>
                <w:rFonts w:hint="eastAsia" w:ascii="宋体" w:hAnsi="宋体" w:eastAsia="宋体" w:cs="宋体"/>
                <w:i w:val="0"/>
                <w:iCs w:val="0"/>
                <w:color w:val="auto"/>
                <w:sz w:val="18"/>
                <w:szCs w:val="18"/>
                <w:u w:val="none"/>
                <w:lang w:eastAsia="zh-CN"/>
              </w:rPr>
              <w:t>加强宣传培训工作、建立相关制度、购置设备</w:t>
            </w:r>
          </w:p>
        </w:tc>
      </w:tr>
      <w:tr w14:paraId="10A73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bottom w:val="single" w:color="auto" w:sz="4" w:space="0"/>
              <w:right w:val="single" w:color="000000" w:sz="4" w:space="0"/>
            </w:tcBorders>
            <w:noWrap w:val="0"/>
            <w:vAlign w:val="center"/>
          </w:tcPr>
          <w:p w14:paraId="57DD4678">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Style w:val="15"/>
                <w:rFonts w:hint="eastAsia" w:ascii="宋体" w:hAnsi="宋体" w:eastAsia="宋体" w:cs="宋体"/>
                <w:color w:val="auto"/>
                <w:sz w:val="18"/>
                <w:szCs w:val="18"/>
                <w:lang w:val="en-US" w:eastAsia="zh-CN" w:bidi="ar"/>
              </w:rPr>
            </w:pPr>
          </w:p>
        </w:tc>
        <w:tc>
          <w:tcPr>
            <w:tcW w:w="5910" w:type="dxa"/>
            <w:tcBorders>
              <w:top w:val="single" w:color="auto" w:sz="4" w:space="0"/>
              <w:left w:val="single" w:color="000000" w:sz="4" w:space="0"/>
              <w:bottom w:val="single" w:color="auto" w:sz="4" w:space="0"/>
              <w:right w:val="single" w:color="000000" w:sz="4" w:space="0"/>
            </w:tcBorders>
            <w:noWrap w:val="0"/>
            <w:vAlign w:val="center"/>
          </w:tcPr>
          <w:p w14:paraId="77AEA29C">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val="en-US"/>
              </w:rPr>
            </w:pPr>
            <w:r>
              <w:rPr>
                <w:rFonts w:hint="eastAsia" w:ascii="宋体" w:hAnsi="宋体" w:eastAsia="宋体" w:cs="宋体"/>
                <w:i w:val="0"/>
                <w:iCs w:val="0"/>
                <w:color w:val="auto"/>
                <w:kern w:val="0"/>
                <w:sz w:val="18"/>
                <w:szCs w:val="18"/>
                <w:u w:val="none"/>
                <w:lang w:val="en-US" w:eastAsia="zh-CN" w:bidi="ar"/>
              </w:rPr>
              <w:t>100%的社会化服务组织未建立无害化处理制度，或实际未执行；</w:t>
            </w:r>
          </w:p>
        </w:tc>
        <w:tc>
          <w:tcPr>
            <w:tcW w:w="1183" w:type="dxa"/>
            <w:vMerge w:val="continue"/>
            <w:tcBorders>
              <w:left w:val="single" w:color="000000" w:sz="4" w:space="0"/>
              <w:right w:val="single" w:color="000000" w:sz="4" w:space="0"/>
            </w:tcBorders>
            <w:noWrap w:val="0"/>
            <w:vAlign w:val="center"/>
          </w:tcPr>
          <w:p w14:paraId="67EE82D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32402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bottom w:val="single" w:color="auto" w:sz="4" w:space="0"/>
              <w:right w:val="single" w:color="000000" w:sz="4" w:space="0"/>
            </w:tcBorders>
            <w:noWrap w:val="0"/>
            <w:vAlign w:val="center"/>
          </w:tcPr>
          <w:p w14:paraId="763D8AC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Style w:val="15"/>
                <w:rFonts w:hint="eastAsia" w:ascii="宋体" w:hAnsi="宋体" w:eastAsia="宋体" w:cs="宋体"/>
                <w:color w:val="auto"/>
                <w:sz w:val="18"/>
                <w:szCs w:val="18"/>
                <w:lang w:val="en-US" w:eastAsia="zh-CN" w:bidi="ar"/>
              </w:rPr>
            </w:pPr>
          </w:p>
        </w:tc>
        <w:tc>
          <w:tcPr>
            <w:tcW w:w="5910" w:type="dxa"/>
            <w:tcBorders>
              <w:top w:val="single" w:color="auto" w:sz="4" w:space="0"/>
              <w:left w:val="single" w:color="000000" w:sz="4" w:space="0"/>
              <w:bottom w:val="single" w:color="auto" w:sz="4" w:space="0"/>
              <w:right w:val="single" w:color="000000" w:sz="4" w:space="0"/>
            </w:tcBorders>
            <w:noWrap w:val="0"/>
            <w:vAlign w:val="center"/>
          </w:tcPr>
          <w:p w14:paraId="1542646E">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100%的社会化服务组织无废弃物及病死动物暂存间，未配备冰柜、焚烧炉等设备；</w:t>
            </w:r>
          </w:p>
        </w:tc>
        <w:tc>
          <w:tcPr>
            <w:tcW w:w="1183" w:type="dxa"/>
            <w:vMerge w:val="continue"/>
            <w:tcBorders>
              <w:left w:val="single" w:color="000000" w:sz="4" w:space="0"/>
              <w:right w:val="single" w:color="000000" w:sz="4" w:space="0"/>
            </w:tcBorders>
            <w:noWrap w:val="0"/>
            <w:vAlign w:val="center"/>
          </w:tcPr>
          <w:p w14:paraId="7FE6574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6956D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bottom w:val="single" w:color="auto" w:sz="4" w:space="0"/>
              <w:right w:val="single" w:color="000000" w:sz="4" w:space="0"/>
            </w:tcBorders>
            <w:noWrap w:val="0"/>
            <w:vAlign w:val="center"/>
          </w:tcPr>
          <w:p w14:paraId="7341C60B">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Style w:val="15"/>
                <w:rFonts w:hint="eastAsia" w:ascii="宋体" w:hAnsi="宋体" w:eastAsia="宋体" w:cs="宋体"/>
                <w:color w:val="auto"/>
                <w:sz w:val="18"/>
                <w:szCs w:val="18"/>
                <w:lang w:val="en-US" w:eastAsia="zh-CN" w:bidi="ar"/>
              </w:rPr>
            </w:pPr>
          </w:p>
        </w:tc>
        <w:tc>
          <w:tcPr>
            <w:tcW w:w="5910" w:type="dxa"/>
            <w:tcBorders>
              <w:top w:val="single" w:color="auto" w:sz="4" w:space="0"/>
              <w:left w:val="single" w:color="000000" w:sz="4" w:space="0"/>
              <w:bottom w:val="single" w:color="auto" w:sz="4" w:space="0"/>
              <w:right w:val="single" w:color="000000" w:sz="4" w:space="0"/>
            </w:tcBorders>
            <w:noWrap w:val="0"/>
            <w:vAlign w:val="center"/>
          </w:tcPr>
          <w:p w14:paraId="24EADC93">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40%的社会化服务组织未对每次使用过的防疫用品进行消毒或消毒不严格；</w:t>
            </w:r>
          </w:p>
        </w:tc>
        <w:tc>
          <w:tcPr>
            <w:tcW w:w="1183" w:type="dxa"/>
            <w:vMerge w:val="continue"/>
            <w:tcBorders>
              <w:left w:val="single" w:color="000000" w:sz="4" w:space="0"/>
              <w:bottom w:val="single" w:color="auto" w:sz="4" w:space="0"/>
              <w:right w:val="single" w:color="000000" w:sz="4" w:space="0"/>
            </w:tcBorders>
            <w:noWrap w:val="0"/>
            <w:vAlign w:val="center"/>
          </w:tcPr>
          <w:p w14:paraId="09058FA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56419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bottom w:val="single" w:color="auto" w:sz="4" w:space="0"/>
              <w:right w:val="single" w:color="000000" w:sz="4" w:space="0"/>
            </w:tcBorders>
            <w:noWrap w:val="0"/>
            <w:vAlign w:val="center"/>
          </w:tcPr>
          <w:p w14:paraId="1D4D9B48">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Style w:val="15"/>
                <w:rFonts w:hint="eastAsia" w:ascii="宋体" w:hAnsi="宋体" w:eastAsia="宋体" w:cs="宋体"/>
                <w:color w:val="auto"/>
                <w:sz w:val="18"/>
                <w:szCs w:val="18"/>
                <w:lang w:val="en-US" w:eastAsia="zh-CN" w:bidi="ar"/>
              </w:rPr>
            </w:pPr>
          </w:p>
        </w:tc>
        <w:tc>
          <w:tcPr>
            <w:tcW w:w="5910" w:type="dxa"/>
            <w:tcBorders>
              <w:top w:val="single" w:color="auto" w:sz="4" w:space="0"/>
              <w:left w:val="single" w:color="000000" w:sz="4" w:space="0"/>
              <w:bottom w:val="single" w:color="auto" w:sz="4" w:space="0"/>
              <w:right w:val="single" w:color="000000" w:sz="4" w:space="0"/>
            </w:tcBorders>
            <w:noWrap w:val="0"/>
            <w:vAlign w:val="center"/>
          </w:tcPr>
          <w:p w14:paraId="7338BF5B">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60%的社会化服务组织未建立或实际未执行防疫员违反生物安全操作的规章制度；</w:t>
            </w:r>
          </w:p>
        </w:tc>
        <w:tc>
          <w:tcPr>
            <w:tcW w:w="1183" w:type="dxa"/>
            <w:vMerge w:val="continue"/>
            <w:tcBorders>
              <w:left w:val="single" w:color="000000" w:sz="4" w:space="0"/>
              <w:bottom w:val="single" w:color="auto" w:sz="4" w:space="0"/>
              <w:right w:val="single" w:color="000000" w:sz="4" w:space="0"/>
            </w:tcBorders>
            <w:noWrap w:val="0"/>
            <w:vAlign w:val="center"/>
          </w:tcPr>
          <w:p w14:paraId="6756CF18">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30148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bottom w:val="single" w:color="auto" w:sz="4" w:space="0"/>
              <w:right w:val="single" w:color="000000" w:sz="4" w:space="0"/>
            </w:tcBorders>
            <w:noWrap w:val="0"/>
            <w:vAlign w:val="center"/>
          </w:tcPr>
          <w:p w14:paraId="3D218838">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Style w:val="15"/>
                <w:rFonts w:hint="eastAsia" w:ascii="宋体" w:hAnsi="宋体" w:eastAsia="宋体" w:cs="宋体"/>
                <w:color w:val="auto"/>
                <w:sz w:val="18"/>
                <w:szCs w:val="18"/>
                <w:lang w:val="en-US" w:eastAsia="zh-CN" w:bidi="ar"/>
              </w:rPr>
            </w:pPr>
          </w:p>
        </w:tc>
        <w:tc>
          <w:tcPr>
            <w:tcW w:w="5910" w:type="dxa"/>
            <w:tcBorders>
              <w:top w:val="single" w:color="auto" w:sz="4" w:space="0"/>
              <w:left w:val="single" w:color="000000" w:sz="4" w:space="0"/>
              <w:bottom w:val="single" w:color="auto" w:sz="4" w:space="0"/>
              <w:right w:val="single" w:color="000000" w:sz="4" w:space="0"/>
            </w:tcBorders>
            <w:noWrap w:val="0"/>
            <w:vAlign w:val="center"/>
          </w:tcPr>
          <w:p w14:paraId="3668660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20%的社会化服务组织未对使用过的布鲁氏菌病疫苗瓶进行消毒、回收及无害化处理。</w:t>
            </w:r>
          </w:p>
        </w:tc>
        <w:tc>
          <w:tcPr>
            <w:tcW w:w="1183" w:type="dxa"/>
            <w:vMerge w:val="continue"/>
            <w:tcBorders>
              <w:left w:val="single" w:color="000000" w:sz="4" w:space="0"/>
              <w:bottom w:val="single" w:color="auto" w:sz="4" w:space="0"/>
              <w:right w:val="single" w:color="000000" w:sz="4" w:space="0"/>
            </w:tcBorders>
            <w:noWrap w:val="0"/>
            <w:vAlign w:val="center"/>
          </w:tcPr>
          <w:p w14:paraId="0CE56302">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1F795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restart"/>
            <w:tcBorders>
              <w:top w:val="single" w:color="auto" w:sz="4" w:space="0"/>
              <w:left w:val="single" w:color="000000" w:sz="4" w:space="0"/>
              <w:right w:val="single" w:color="000000" w:sz="4" w:space="0"/>
            </w:tcBorders>
            <w:noWrap w:val="0"/>
            <w:vAlign w:val="center"/>
          </w:tcPr>
          <w:p w14:paraId="53B23AE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Style w:val="15"/>
                <w:rFonts w:hint="eastAsia" w:ascii="宋体" w:hAnsi="宋体" w:eastAsia="宋体" w:cs="宋体"/>
                <w:color w:val="auto"/>
                <w:sz w:val="18"/>
                <w:szCs w:val="18"/>
                <w:lang w:val="en-US" w:eastAsia="zh-CN" w:bidi="ar"/>
              </w:rPr>
            </w:pPr>
            <w:r>
              <w:rPr>
                <w:rStyle w:val="15"/>
                <w:rFonts w:hint="eastAsia" w:ascii="宋体" w:hAnsi="宋体" w:eastAsia="宋体" w:cs="宋体"/>
                <w:color w:val="auto"/>
                <w:sz w:val="18"/>
                <w:szCs w:val="18"/>
                <w:lang w:val="en-US" w:eastAsia="zh-CN" w:bidi="ar"/>
              </w:rPr>
              <w:t>社会化服务组织免疫操作方面</w:t>
            </w:r>
          </w:p>
        </w:tc>
        <w:tc>
          <w:tcPr>
            <w:tcW w:w="5910" w:type="dxa"/>
            <w:tcBorders>
              <w:top w:val="single" w:color="auto" w:sz="4" w:space="0"/>
              <w:left w:val="single" w:color="000000" w:sz="4" w:space="0"/>
              <w:bottom w:val="single" w:color="auto" w:sz="4" w:space="0"/>
              <w:right w:val="single" w:color="000000" w:sz="4" w:space="0"/>
            </w:tcBorders>
            <w:noWrap w:val="0"/>
            <w:vAlign w:val="center"/>
          </w:tcPr>
          <w:p w14:paraId="2C6A5B14">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38.46%的社会化服务组织人员在免疫操作时不穿防护服、不戴口罩、手套等防护用品，或进入下一场点免疫时不更换。</w:t>
            </w:r>
          </w:p>
        </w:tc>
        <w:tc>
          <w:tcPr>
            <w:tcW w:w="1183" w:type="dxa"/>
            <w:vMerge w:val="restart"/>
            <w:tcBorders>
              <w:top w:val="single" w:color="auto" w:sz="4" w:space="0"/>
              <w:left w:val="single" w:color="000000" w:sz="4" w:space="0"/>
              <w:right w:val="single" w:color="000000" w:sz="4" w:space="0"/>
            </w:tcBorders>
            <w:noWrap w:val="0"/>
            <w:vAlign w:val="center"/>
          </w:tcPr>
          <w:p w14:paraId="6C2D5ED2">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lang w:eastAsia="zh-CN"/>
              </w:rPr>
            </w:pPr>
            <w:r>
              <w:rPr>
                <w:rFonts w:hint="eastAsia" w:ascii="宋体" w:hAnsi="宋体" w:eastAsia="宋体" w:cs="宋体"/>
                <w:i w:val="0"/>
                <w:iCs w:val="0"/>
                <w:color w:val="auto"/>
                <w:sz w:val="18"/>
                <w:szCs w:val="18"/>
                <w:u w:val="none"/>
                <w:lang w:eastAsia="zh-CN"/>
              </w:rPr>
              <w:t>限令整改</w:t>
            </w:r>
          </w:p>
        </w:tc>
      </w:tr>
      <w:tr w14:paraId="54A23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23FDB83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Style w:val="15"/>
                <w:rFonts w:hint="eastAsia" w:ascii="宋体" w:hAnsi="宋体" w:eastAsia="宋体" w:cs="宋体"/>
                <w:color w:val="auto"/>
                <w:sz w:val="18"/>
                <w:szCs w:val="18"/>
                <w:lang w:val="en-US" w:eastAsia="zh-CN" w:bidi="ar"/>
              </w:rPr>
            </w:pPr>
          </w:p>
        </w:tc>
        <w:tc>
          <w:tcPr>
            <w:tcW w:w="5910" w:type="dxa"/>
            <w:tcBorders>
              <w:top w:val="single" w:color="auto" w:sz="4" w:space="0"/>
              <w:left w:val="single" w:color="000000" w:sz="4" w:space="0"/>
              <w:bottom w:val="single" w:color="auto" w:sz="4" w:space="0"/>
              <w:right w:val="single" w:color="000000" w:sz="4" w:space="0"/>
            </w:tcBorders>
            <w:noWrap w:val="0"/>
            <w:vAlign w:val="center"/>
          </w:tcPr>
          <w:p w14:paraId="39FDC1AE">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23.08%的社会化服务组织人员在不同的场点进行免疫操作时，不更换针头；</w:t>
            </w:r>
          </w:p>
        </w:tc>
        <w:tc>
          <w:tcPr>
            <w:tcW w:w="1183" w:type="dxa"/>
            <w:vMerge w:val="continue"/>
            <w:tcBorders>
              <w:left w:val="single" w:color="000000" w:sz="4" w:space="0"/>
              <w:right w:val="single" w:color="000000" w:sz="4" w:space="0"/>
            </w:tcBorders>
            <w:noWrap w:val="0"/>
            <w:vAlign w:val="center"/>
          </w:tcPr>
          <w:p w14:paraId="76AE31D0">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31314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1DC6696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Style w:val="15"/>
                <w:rFonts w:hint="eastAsia" w:ascii="宋体" w:hAnsi="宋体" w:eastAsia="宋体" w:cs="宋体"/>
                <w:color w:val="auto"/>
                <w:sz w:val="18"/>
                <w:szCs w:val="18"/>
                <w:lang w:val="en-US" w:eastAsia="zh-CN" w:bidi="ar"/>
              </w:rPr>
            </w:pPr>
          </w:p>
        </w:tc>
        <w:tc>
          <w:tcPr>
            <w:tcW w:w="5910" w:type="dxa"/>
            <w:tcBorders>
              <w:top w:val="single" w:color="auto" w:sz="4" w:space="0"/>
              <w:left w:val="single" w:color="000000" w:sz="4" w:space="0"/>
              <w:bottom w:val="single" w:color="auto" w:sz="4" w:space="0"/>
              <w:right w:val="single" w:color="000000" w:sz="4" w:space="0"/>
            </w:tcBorders>
            <w:noWrap w:val="0"/>
            <w:vAlign w:val="center"/>
          </w:tcPr>
          <w:p w14:paraId="409BFD76">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67.31%的社会化服务组织人员在免疫操作后手部未经消毒，进行饮水、抽烟等；</w:t>
            </w:r>
          </w:p>
        </w:tc>
        <w:tc>
          <w:tcPr>
            <w:tcW w:w="1183" w:type="dxa"/>
            <w:vMerge w:val="continue"/>
            <w:tcBorders>
              <w:left w:val="single" w:color="000000" w:sz="4" w:space="0"/>
              <w:right w:val="single" w:color="000000" w:sz="4" w:space="0"/>
            </w:tcBorders>
            <w:noWrap w:val="0"/>
            <w:vAlign w:val="center"/>
          </w:tcPr>
          <w:p w14:paraId="576514AB">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75F55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right w:val="single" w:color="000000" w:sz="4" w:space="0"/>
            </w:tcBorders>
            <w:noWrap w:val="0"/>
            <w:vAlign w:val="center"/>
          </w:tcPr>
          <w:p w14:paraId="23482BF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Style w:val="15"/>
                <w:rFonts w:hint="eastAsia" w:ascii="宋体" w:hAnsi="宋体" w:eastAsia="宋体" w:cs="宋体"/>
                <w:color w:val="auto"/>
                <w:sz w:val="18"/>
                <w:szCs w:val="18"/>
                <w:lang w:val="en-US" w:eastAsia="zh-CN" w:bidi="ar"/>
              </w:rPr>
            </w:pPr>
          </w:p>
        </w:tc>
        <w:tc>
          <w:tcPr>
            <w:tcW w:w="5910" w:type="dxa"/>
            <w:tcBorders>
              <w:top w:val="single" w:color="auto" w:sz="4" w:space="0"/>
              <w:left w:val="single" w:color="000000" w:sz="4" w:space="0"/>
              <w:bottom w:val="single" w:color="auto" w:sz="4" w:space="0"/>
              <w:right w:val="single" w:color="000000" w:sz="4" w:space="0"/>
            </w:tcBorders>
            <w:noWrap w:val="0"/>
            <w:vAlign w:val="center"/>
          </w:tcPr>
          <w:p w14:paraId="6B351815">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76.92%的社会化服务组织人员在免疫操作后不对场地进行消毒，或者不督促养殖场进行消毒；</w:t>
            </w:r>
          </w:p>
        </w:tc>
        <w:tc>
          <w:tcPr>
            <w:tcW w:w="1183" w:type="dxa"/>
            <w:vMerge w:val="continue"/>
            <w:tcBorders>
              <w:left w:val="single" w:color="000000" w:sz="4" w:space="0"/>
              <w:right w:val="single" w:color="000000" w:sz="4" w:space="0"/>
            </w:tcBorders>
            <w:noWrap w:val="0"/>
            <w:vAlign w:val="center"/>
          </w:tcPr>
          <w:p w14:paraId="7C796FFA">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r w14:paraId="17E7C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16" w:type="dxa"/>
            <w:vMerge w:val="continue"/>
            <w:tcBorders>
              <w:left w:val="single" w:color="000000" w:sz="4" w:space="0"/>
              <w:bottom w:val="single" w:color="auto" w:sz="4" w:space="0"/>
              <w:right w:val="single" w:color="000000" w:sz="4" w:space="0"/>
            </w:tcBorders>
            <w:noWrap w:val="0"/>
            <w:vAlign w:val="center"/>
          </w:tcPr>
          <w:p w14:paraId="0F17040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Style w:val="15"/>
                <w:rFonts w:hint="eastAsia" w:ascii="宋体" w:hAnsi="宋体" w:eastAsia="宋体" w:cs="宋体"/>
                <w:color w:val="auto"/>
                <w:sz w:val="18"/>
                <w:szCs w:val="18"/>
                <w:lang w:val="en-US" w:eastAsia="zh-CN" w:bidi="ar"/>
              </w:rPr>
            </w:pPr>
          </w:p>
        </w:tc>
        <w:tc>
          <w:tcPr>
            <w:tcW w:w="5910" w:type="dxa"/>
            <w:tcBorders>
              <w:top w:val="single" w:color="auto" w:sz="4" w:space="0"/>
              <w:left w:val="single" w:color="000000" w:sz="4" w:space="0"/>
              <w:bottom w:val="single" w:color="auto" w:sz="4" w:space="0"/>
              <w:right w:val="single" w:color="000000" w:sz="4" w:space="0"/>
            </w:tcBorders>
            <w:noWrap w:val="0"/>
            <w:vAlign w:val="center"/>
          </w:tcPr>
          <w:p w14:paraId="21F78795">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20%的社会化服务组织储存的防护用品过期或数量不足。</w:t>
            </w:r>
          </w:p>
        </w:tc>
        <w:tc>
          <w:tcPr>
            <w:tcW w:w="1183" w:type="dxa"/>
            <w:vMerge w:val="continue"/>
            <w:tcBorders>
              <w:left w:val="single" w:color="000000" w:sz="4" w:space="0"/>
              <w:bottom w:val="single" w:color="auto" w:sz="4" w:space="0"/>
              <w:right w:val="single" w:color="000000" w:sz="4" w:space="0"/>
            </w:tcBorders>
            <w:noWrap w:val="0"/>
            <w:vAlign w:val="center"/>
          </w:tcPr>
          <w:p w14:paraId="09A8592F">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auto"/>
                <w:sz w:val="18"/>
                <w:szCs w:val="18"/>
                <w:u w:val="none"/>
              </w:rPr>
            </w:pPr>
          </w:p>
        </w:tc>
      </w:tr>
    </w:tbl>
    <w:p w14:paraId="0ED95B0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p>
    <w:p w14:paraId="6A4B0EC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选取其中3个</w:t>
      </w:r>
      <w:r>
        <w:rPr>
          <w:rFonts w:hint="default" w:ascii="Times New Roman" w:hAnsi="Times New Roman" w:eastAsia="仿宋_GB2312" w:cs="Times New Roman"/>
          <w:color w:val="auto"/>
          <w:sz w:val="32"/>
          <w:szCs w:val="32"/>
          <w:lang w:eastAsia="zh-CN"/>
        </w:rPr>
        <w:t>牛羊</w:t>
      </w:r>
      <w:r>
        <w:rPr>
          <w:rFonts w:hint="default" w:ascii="Times New Roman" w:hAnsi="Times New Roman" w:eastAsia="仿宋_GB2312" w:cs="Times New Roman"/>
          <w:color w:val="auto"/>
          <w:sz w:val="32"/>
          <w:szCs w:val="32"/>
          <w:lang w:val="en-US" w:eastAsia="zh-CN"/>
        </w:rPr>
        <w:t>规模</w:t>
      </w:r>
      <w:r>
        <w:rPr>
          <w:rFonts w:hint="default" w:ascii="Times New Roman" w:hAnsi="Times New Roman" w:eastAsia="仿宋_GB2312" w:cs="Times New Roman"/>
          <w:color w:val="auto"/>
          <w:sz w:val="32"/>
          <w:szCs w:val="32"/>
          <w:lang w:eastAsia="zh-CN"/>
        </w:rPr>
        <w:t>养殖场</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宁夏鸿益程牧业有限公司</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贺兰县力农羊业有限公司</w:t>
      </w:r>
      <w:r>
        <w:rPr>
          <w:rFonts w:hint="eastAsia"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eastAsia="zh-CN"/>
        </w:rPr>
        <w:t>宁夏农垦贺兰山牛羊产业（集团）有限公司）</w:t>
      </w:r>
      <w:r>
        <w:rPr>
          <w:rFonts w:hint="default" w:ascii="Times New Roman" w:hAnsi="Times New Roman" w:eastAsia="仿宋_GB2312" w:cs="Times New Roman"/>
          <w:color w:val="auto"/>
          <w:sz w:val="32"/>
          <w:szCs w:val="32"/>
          <w:lang w:val="en-US" w:eastAsia="zh-CN"/>
        </w:rPr>
        <w:t>开展</w:t>
      </w:r>
      <w:r>
        <w:rPr>
          <w:rFonts w:hint="eastAsia" w:ascii="Times New Roman" w:hAnsi="Times New Roman" w:eastAsia="仿宋_GB2312" w:cs="Times New Roman"/>
          <w:color w:val="auto"/>
          <w:sz w:val="32"/>
          <w:szCs w:val="32"/>
          <w:lang w:val="en-US" w:eastAsia="zh-CN"/>
        </w:rPr>
        <w:t>整改前后</w:t>
      </w:r>
      <w:r>
        <w:rPr>
          <w:rFonts w:hint="eastAsia" w:ascii="Times New Roman" w:hAnsi="Times New Roman" w:eastAsia="仿宋_GB2312" w:cs="Times New Roman"/>
          <w:color w:val="auto"/>
          <w:sz w:val="32"/>
          <w:szCs w:val="32"/>
          <w:lang w:eastAsia="zh-CN"/>
        </w:rPr>
        <w:t>布鲁氏菌</w:t>
      </w:r>
      <w:r>
        <w:rPr>
          <w:rFonts w:hint="default" w:ascii="Times New Roman" w:hAnsi="Times New Roman" w:eastAsia="仿宋_GB2312" w:cs="Times New Roman"/>
          <w:color w:val="auto"/>
          <w:sz w:val="32"/>
          <w:szCs w:val="32"/>
          <w:lang w:eastAsia="zh-CN"/>
        </w:rPr>
        <w:t>监测试验研究</w:t>
      </w:r>
      <w:r>
        <w:rPr>
          <w:rFonts w:hint="eastAsia" w:ascii="Times New Roman" w:hAnsi="Times New Roman" w:eastAsia="仿宋_GB2312" w:cs="Times New Roman"/>
          <w:color w:val="auto"/>
          <w:sz w:val="32"/>
          <w:szCs w:val="32"/>
          <w:lang w:eastAsia="zh-CN"/>
        </w:rPr>
        <w:t>。监测指标</w:t>
      </w:r>
      <w:r>
        <w:rPr>
          <w:rFonts w:hint="eastAsia" w:ascii="Times New Roman" w:hAnsi="Times New Roman" w:eastAsia="仿宋_GB2312" w:cs="Times New Roman"/>
          <w:color w:val="auto"/>
          <w:sz w:val="32"/>
          <w:szCs w:val="32"/>
          <w:lang w:val="en-US" w:eastAsia="zh-CN"/>
        </w:rPr>
        <w:t>包括两项，1.免疫效果指标：</w:t>
      </w:r>
      <w:r>
        <w:rPr>
          <w:rFonts w:hint="default" w:ascii="Times New Roman" w:hAnsi="Times New Roman" w:eastAsia="仿宋_GB2312" w:cs="Times New Roman"/>
          <w:color w:val="auto"/>
          <w:sz w:val="32"/>
          <w:szCs w:val="32"/>
          <w:lang w:val="en-US" w:eastAsia="zh-CN"/>
        </w:rPr>
        <w:t>采集牛羊血清样本，检测布鲁氏菌免疫抗体阳性率，评估免疫接种的有效性</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生物安全指标</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采集养殖环境（圈舍、料槽等）拭子样本，进行布鲁氏菌病原核酸检测，评估环境病原污染风险的控制效果</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eastAsia="zh-CN"/>
        </w:rPr>
        <w:t>监测结果（</w:t>
      </w:r>
      <w:r>
        <w:rPr>
          <w:rFonts w:hint="default" w:ascii="Times New Roman" w:hAnsi="Times New Roman" w:eastAsia="仿宋_GB2312" w:cs="Times New Roman"/>
          <w:color w:val="auto"/>
          <w:sz w:val="32"/>
          <w:szCs w:val="32"/>
          <w:lang w:val="en-US" w:eastAsia="zh-CN"/>
        </w:rPr>
        <w:t>免疫后1个月左右采样</w:t>
      </w: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统计表详见</w:t>
      </w:r>
      <w:r>
        <w:rPr>
          <w:rFonts w:hint="eastAsia" w:ascii="Times New Roman" w:hAnsi="Times New Roman" w:eastAsia="仿宋_GB2312" w:cs="Times New Roman"/>
          <w:color w:val="auto"/>
          <w:sz w:val="32"/>
          <w:szCs w:val="32"/>
          <w:lang w:val="en-US" w:eastAsia="zh-CN"/>
        </w:rPr>
        <w:t>表2</w:t>
      </w:r>
      <w:r>
        <w:rPr>
          <w:rFonts w:hint="default" w:ascii="Times New Roman" w:hAnsi="Times New Roman" w:eastAsia="仿宋_GB2312" w:cs="Times New Roman"/>
          <w:color w:val="auto"/>
          <w:sz w:val="32"/>
          <w:szCs w:val="32"/>
          <w:lang w:val="en-US" w:eastAsia="zh-CN"/>
        </w:rPr>
        <w:t>所示</w:t>
      </w:r>
      <w:r>
        <w:rPr>
          <w:rFonts w:hint="eastAsia" w:ascii="Times New Roman" w:hAnsi="Times New Roman" w:eastAsia="仿宋_GB2312" w:cs="Times New Roman"/>
          <w:color w:val="auto"/>
          <w:sz w:val="32"/>
          <w:szCs w:val="32"/>
          <w:lang w:val="en-US" w:eastAsia="zh-CN"/>
        </w:rPr>
        <w:t>。结果表明：1.</w:t>
      </w:r>
      <w:r>
        <w:rPr>
          <w:rFonts w:hint="default" w:ascii="Times New Roman" w:hAnsi="Times New Roman" w:eastAsia="仿宋_GB2312" w:cs="Times New Roman"/>
          <w:color w:val="auto"/>
          <w:sz w:val="32"/>
          <w:szCs w:val="32"/>
          <w:lang w:eastAsia="zh-CN"/>
        </w:rPr>
        <w:t>免疫抗体阳性率稳中有升：</w:t>
      </w:r>
      <w:r>
        <w:rPr>
          <w:rFonts w:hint="eastAsia" w:ascii="Times New Roman" w:hAnsi="Times New Roman" w:eastAsia="仿宋_GB2312" w:cs="Times New Roman"/>
          <w:color w:val="auto"/>
          <w:sz w:val="32"/>
          <w:szCs w:val="32"/>
          <w:lang w:val="en-US" w:eastAsia="zh-CN"/>
        </w:rPr>
        <w:t>整改后，</w:t>
      </w:r>
      <w:r>
        <w:rPr>
          <w:rFonts w:hint="default" w:ascii="Times New Roman" w:hAnsi="Times New Roman" w:eastAsia="仿宋_GB2312" w:cs="Times New Roman"/>
          <w:color w:val="auto"/>
          <w:sz w:val="32"/>
          <w:szCs w:val="32"/>
          <w:lang w:eastAsia="zh-CN"/>
        </w:rPr>
        <w:t>三个场点免疫后抗体阳性率均维持在较高水平（84%、92%、88%），且较整改前均有所提升或保持稳定，表明本标准规范下的免疫操作能有效保证免疫效果。</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环境病原污染显著降低：整改后，三个场点的环境病原阳性率分别从35%、25%、40%下降至25%、20%、25%，平均降低约10个百分点。这直接证明，本标准强调的场地消毒、规范操作、严格废弃物处理等综合措施，能有效切断病原在环境中的循环与污染，降低养殖场内部和人员暴露风险。</w:t>
      </w:r>
    </w:p>
    <w:p w14:paraId="39393B98">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表</w:t>
      </w:r>
      <w:r>
        <w:rPr>
          <w:rFonts w:hint="eastAsia" w:ascii="宋体" w:hAnsi="宋体" w:eastAsia="宋体" w:cs="宋体"/>
          <w:b/>
          <w:bCs/>
          <w:color w:val="auto"/>
          <w:sz w:val="24"/>
          <w:szCs w:val="24"/>
          <w:lang w:val="en-US" w:eastAsia="zh-CN"/>
        </w:rPr>
        <w:t xml:space="preserve"> 2  </w:t>
      </w:r>
      <w:r>
        <w:rPr>
          <w:rFonts w:hint="eastAsia" w:ascii="宋体" w:hAnsi="宋体" w:eastAsia="宋体" w:cs="宋体"/>
          <w:b/>
          <w:bCs/>
          <w:color w:val="auto"/>
          <w:sz w:val="24"/>
          <w:szCs w:val="24"/>
          <w:lang w:eastAsia="zh-CN"/>
        </w:rPr>
        <w:t>监测结果统计表</w:t>
      </w:r>
    </w:p>
    <w:tbl>
      <w:tblPr>
        <w:tblStyle w:val="9"/>
        <w:tblW w:w="838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26"/>
        <w:gridCol w:w="1590"/>
        <w:gridCol w:w="870"/>
        <w:gridCol w:w="795"/>
        <w:gridCol w:w="765"/>
        <w:gridCol w:w="821"/>
        <w:gridCol w:w="706"/>
        <w:gridCol w:w="808"/>
      </w:tblGrid>
      <w:tr w14:paraId="07ACA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026" w:type="dxa"/>
            <w:vMerge w:val="restart"/>
            <w:tcBorders>
              <w:top w:val="single" w:color="auto" w:sz="4" w:space="0"/>
              <w:left w:val="single" w:color="000000" w:sz="4" w:space="0"/>
              <w:right w:val="single" w:color="000000" w:sz="4" w:space="0"/>
            </w:tcBorders>
            <w:noWrap/>
            <w:vAlign w:val="center"/>
          </w:tcPr>
          <w:p w14:paraId="5D530C7D">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场名</w:t>
            </w:r>
          </w:p>
        </w:tc>
        <w:tc>
          <w:tcPr>
            <w:tcW w:w="1590" w:type="dxa"/>
            <w:vMerge w:val="restart"/>
            <w:tcBorders>
              <w:top w:val="single" w:color="auto" w:sz="4" w:space="0"/>
              <w:left w:val="single" w:color="000000" w:sz="4" w:space="0"/>
              <w:right w:val="single" w:color="000000" w:sz="4" w:space="0"/>
            </w:tcBorders>
            <w:noWrap/>
            <w:vAlign w:val="center"/>
          </w:tcPr>
          <w:p w14:paraId="65562D55">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监测项目</w:t>
            </w:r>
          </w:p>
        </w:tc>
        <w:tc>
          <w:tcPr>
            <w:tcW w:w="2430" w:type="dxa"/>
            <w:gridSpan w:val="3"/>
            <w:tcBorders>
              <w:top w:val="single" w:color="auto" w:sz="4" w:space="0"/>
              <w:left w:val="single" w:color="000000" w:sz="4" w:space="0"/>
              <w:bottom w:val="single" w:color="auto" w:sz="4" w:space="0"/>
              <w:right w:val="single" w:color="000000" w:sz="4" w:space="0"/>
            </w:tcBorders>
            <w:noWrap w:val="0"/>
            <w:vAlign w:val="center"/>
          </w:tcPr>
          <w:p w14:paraId="70C13ED3">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评估前</w:t>
            </w:r>
          </w:p>
        </w:tc>
        <w:tc>
          <w:tcPr>
            <w:tcW w:w="2335" w:type="dxa"/>
            <w:gridSpan w:val="3"/>
            <w:tcBorders>
              <w:top w:val="single" w:color="000000" w:sz="4" w:space="0"/>
              <w:left w:val="single" w:color="000000" w:sz="4" w:space="0"/>
              <w:bottom w:val="single" w:color="auto" w:sz="4" w:space="0"/>
              <w:right w:val="single" w:color="000000" w:sz="4" w:space="0"/>
            </w:tcBorders>
            <w:noWrap w:val="0"/>
            <w:vAlign w:val="center"/>
          </w:tcPr>
          <w:p w14:paraId="22283409">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整改后</w:t>
            </w:r>
          </w:p>
        </w:tc>
      </w:tr>
      <w:tr w14:paraId="593D5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026" w:type="dxa"/>
            <w:vMerge w:val="continue"/>
            <w:tcBorders>
              <w:left w:val="single" w:color="000000" w:sz="4" w:space="0"/>
              <w:bottom w:val="single" w:color="000000" w:sz="4" w:space="0"/>
              <w:right w:val="single" w:color="000000" w:sz="4" w:space="0"/>
            </w:tcBorders>
            <w:noWrap/>
            <w:vAlign w:val="center"/>
          </w:tcPr>
          <w:p w14:paraId="14A06CBE">
            <w:pPr>
              <w:jc w:val="center"/>
              <w:rPr>
                <w:rFonts w:hint="eastAsia" w:ascii="宋体" w:hAnsi="宋体" w:eastAsia="宋体" w:cs="宋体"/>
                <w:b/>
                <w:bCs/>
                <w:i w:val="0"/>
                <w:iCs w:val="0"/>
                <w:color w:val="auto"/>
                <w:sz w:val="18"/>
                <w:szCs w:val="18"/>
                <w:u w:val="none"/>
              </w:rPr>
            </w:pPr>
          </w:p>
        </w:tc>
        <w:tc>
          <w:tcPr>
            <w:tcW w:w="1590" w:type="dxa"/>
            <w:vMerge w:val="continue"/>
            <w:tcBorders>
              <w:left w:val="single" w:color="000000" w:sz="4" w:space="0"/>
              <w:bottom w:val="single" w:color="000000" w:sz="4" w:space="0"/>
              <w:right w:val="single" w:color="000000" w:sz="4" w:space="0"/>
            </w:tcBorders>
            <w:noWrap/>
            <w:vAlign w:val="center"/>
          </w:tcPr>
          <w:p w14:paraId="2CFD04B4">
            <w:pPr>
              <w:jc w:val="center"/>
              <w:rPr>
                <w:rFonts w:hint="eastAsia" w:ascii="宋体" w:hAnsi="宋体" w:eastAsia="宋体" w:cs="宋体"/>
                <w:b/>
                <w:bCs/>
                <w:i w:val="0"/>
                <w:iCs w:val="0"/>
                <w:color w:val="auto"/>
                <w:sz w:val="18"/>
                <w:szCs w:val="18"/>
                <w:u w:val="none"/>
              </w:rPr>
            </w:pPr>
          </w:p>
        </w:tc>
        <w:tc>
          <w:tcPr>
            <w:tcW w:w="870" w:type="dxa"/>
            <w:tcBorders>
              <w:top w:val="single" w:color="auto" w:sz="4" w:space="0"/>
              <w:left w:val="single" w:color="000000" w:sz="4" w:space="0"/>
              <w:bottom w:val="single" w:color="000000" w:sz="4" w:space="0"/>
              <w:right w:val="single" w:color="000000" w:sz="4" w:space="0"/>
            </w:tcBorders>
            <w:noWrap w:val="0"/>
            <w:vAlign w:val="center"/>
          </w:tcPr>
          <w:p w14:paraId="7FBB4146">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采样数</w:t>
            </w:r>
          </w:p>
        </w:tc>
        <w:tc>
          <w:tcPr>
            <w:tcW w:w="795" w:type="dxa"/>
            <w:tcBorders>
              <w:top w:val="single" w:color="auto" w:sz="4" w:space="0"/>
              <w:left w:val="single" w:color="000000" w:sz="4" w:space="0"/>
              <w:bottom w:val="single" w:color="000000" w:sz="4" w:space="0"/>
              <w:right w:val="single" w:color="000000" w:sz="4" w:space="0"/>
            </w:tcBorders>
            <w:noWrap w:val="0"/>
            <w:vAlign w:val="center"/>
          </w:tcPr>
          <w:p w14:paraId="65746968">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阳性数</w:t>
            </w:r>
          </w:p>
        </w:tc>
        <w:tc>
          <w:tcPr>
            <w:tcW w:w="765" w:type="dxa"/>
            <w:tcBorders>
              <w:top w:val="single" w:color="auto" w:sz="4" w:space="0"/>
              <w:left w:val="single" w:color="000000" w:sz="4" w:space="0"/>
              <w:bottom w:val="single" w:color="000000" w:sz="4" w:space="0"/>
              <w:right w:val="single" w:color="000000" w:sz="4" w:space="0"/>
            </w:tcBorders>
            <w:noWrap w:val="0"/>
            <w:vAlign w:val="center"/>
          </w:tcPr>
          <w:p w14:paraId="1B936204">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阳性率</w:t>
            </w:r>
          </w:p>
        </w:tc>
        <w:tc>
          <w:tcPr>
            <w:tcW w:w="821" w:type="dxa"/>
            <w:tcBorders>
              <w:top w:val="single" w:color="auto" w:sz="4" w:space="0"/>
              <w:left w:val="single" w:color="000000" w:sz="4" w:space="0"/>
              <w:bottom w:val="single" w:color="000000" w:sz="4" w:space="0"/>
              <w:right w:val="single" w:color="000000" w:sz="4" w:space="0"/>
            </w:tcBorders>
            <w:noWrap w:val="0"/>
            <w:vAlign w:val="center"/>
          </w:tcPr>
          <w:p w14:paraId="3BE0052F">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采样数</w:t>
            </w:r>
          </w:p>
        </w:tc>
        <w:tc>
          <w:tcPr>
            <w:tcW w:w="706" w:type="dxa"/>
            <w:tcBorders>
              <w:top w:val="single" w:color="auto" w:sz="4" w:space="0"/>
              <w:left w:val="single" w:color="000000" w:sz="4" w:space="0"/>
              <w:bottom w:val="single" w:color="000000" w:sz="4" w:space="0"/>
              <w:right w:val="single" w:color="000000" w:sz="4" w:space="0"/>
            </w:tcBorders>
            <w:noWrap w:val="0"/>
            <w:vAlign w:val="center"/>
          </w:tcPr>
          <w:p w14:paraId="7CD18B94">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阳性数</w:t>
            </w:r>
          </w:p>
        </w:tc>
        <w:tc>
          <w:tcPr>
            <w:tcW w:w="808" w:type="dxa"/>
            <w:tcBorders>
              <w:top w:val="single" w:color="auto" w:sz="4" w:space="0"/>
              <w:left w:val="single" w:color="000000" w:sz="4" w:space="0"/>
              <w:bottom w:val="single" w:color="000000" w:sz="4" w:space="0"/>
              <w:right w:val="single" w:color="000000" w:sz="4" w:space="0"/>
            </w:tcBorders>
            <w:noWrap w:val="0"/>
            <w:vAlign w:val="center"/>
          </w:tcPr>
          <w:p w14:paraId="57B60DE2">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阳性率</w:t>
            </w:r>
          </w:p>
        </w:tc>
      </w:tr>
      <w:tr w14:paraId="2F35E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026" w:type="dxa"/>
            <w:vMerge w:val="restart"/>
            <w:tcBorders>
              <w:top w:val="single" w:color="000000" w:sz="4" w:space="0"/>
              <w:left w:val="single" w:color="000000" w:sz="4" w:space="0"/>
              <w:right w:val="single" w:color="000000" w:sz="4" w:space="0"/>
            </w:tcBorders>
            <w:noWrap w:val="0"/>
            <w:vAlign w:val="center"/>
          </w:tcPr>
          <w:p w14:paraId="70BA80D5">
            <w:pPr>
              <w:keepNext w:val="0"/>
              <w:keepLines w:val="0"/>
              <w:widowControl/>
              <w:suppressLineNumbers w:val="0"/>
              <w:jc w:val="center"/>
              <w:textAlignment w:val="center"/>
              <w:rPr>
                <w:rFonts w:hint="eastAsia" w:ascii="宋体" w:hAnsi="宋体" w:eastAsia="宋体" w:cs="宋体"/>
                <w:i w:val="0"/>
                <w:iCs w:val="0"/>
                <w:color w:val="auto"/>
                <w:sz w:val="18"/>
                <w:szCs w:val="18"/>
                <w:highlight w:val="red"/>
                <w:u w:val="none"/>
              </w:rPr>
            </w:pPr>
            <w:r>
              <w:rPr>
                <w:rFonts w:hint="eastAsia" w:ascii="宋体" w:hAnsi="宋体" w:eastAsia="宋体" w:cs="宋体"/>
                <w:i w:val="0"/>
                <w:iCs w:val="0"/>
                <w:color w:val="auto"/>
                <w:sz w:val="18"/>
                <w:szCs w:val="18"/>
                <w:highlight w:val="none"/>
                <w:u w:val="none"/>
              </w:rPr>
              <w:t>宁夏鸿益程牧业有限公司</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19016733">
            <w:pPr>
              <w:keepNext w:val="0"/>
              <w:keepLines w:val="0"/>
              <w:widowControl/>
              <w:suppressLineNumbers w:val="0"/>
              <w:jc w:val="center"/>
              <w:textAlignment w:val="center"/>
              <w:rPr>
                <w:rFonts w:hint="eastAsia" w:ascii="宋体" w:hAnsi="宋体" w:eastAsia="宋体" w:cs="宋体"/>
                <w:i w:val="0"/>
                <w:iCs w:val="0"/>
                <w:color w:val="auto"/>
                <w:sz w:val="18"/>
                <w:szCs w:val="18"/>
                <w:u w:val="none"/>
                <w:lang w:val="en-US"/>
              </w:rPr>
            </w:pPr>
            <w:r>
              <w:rPr>
                <w:rFonts w:hint="eastAsia" w:ascii="宋体" w:hAnsi="宋体" w:eastAsia="宋体" w:cs="宋体"/>
                <w:i w:val="0"/>
                <w:iCs w:val="0"/>
                <w:color w:val="auto"/>
                <w:kern w:val="0"/>
                <w:sz w:val="18"/>
                <w:szCs w:val="18"/>
                <w:u w:val="none"/>
                <w:lang w:val="en-US" w:eastAsia="zh-CN" w:bidi="ar"/>
              </w:rPr>
              <w:t>布鲁氏菌免疫抗体（A1</w:t>
            </w:r>
            <w:bookmarkStart w:id="24" w:name="_GoBack"/>
            <w:bookmarkEnd w:id="24"/>
            <w:r>
              <w:rPr>
                <w:rFonts w:hint="eastAsia" w:ascii="宋体" w:hAnsi="宋体" w:eastAsia="宋体" w:cs="宋体"/>
                <w:i w:val="0"/>
                <w:iCs w:val="0"/>
                <w:color w:val="auto"/>
                <w:kern w:val="0"/>
                <w:sz w:val="18"/>
                <w:szCs w:val="18"/>
                <w:u w:val="none"/>
                <w:lang w:val="en-US" w:eastAsia="zh-CN" w:bidi="ar"/>
              </w:rPr>
              <w:t>9株）</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14:paraId="38F5A843">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50</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1B598740">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39</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4F0EB00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78%</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17F10756">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50</w:t>
            </w:r>
          </w:p>
        </w:tc>
        <w:tc>
          <w:tcPr>
            <w:tcW w:w="706" w:type="dxa"/>
            <w:tcBorders>
              <w:top w:val="single" w:color="000000" w:sz="4" w:space="0"/>
              <w:left w:val="single" w:color="000000" w:sz="4" w:space="0"/>
              <w:bottom w:val="single" w:color="000000" w:sz="4" w:space="0"/>
              <w:right w:val="single" w:color="000000" w:sz="4" w:space="0"/>
            </w:tcBorders>
            <w:noWrap/>
            <w:vAlign w:val="center"/>
          </w:tcPr>
          <w:p w14:paraId="64DB41FF">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42</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6AA3A2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84%</w:t>
            </w:r>
          </w:p>
        </w:tc>
      </w:tr>
      <w:tr w14:paraId="3D211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026" w:type="dxa"/>
            <w:vMerge w:val="continue"/>
            <w:tcBorders>
              <w:left w:val="single" w:color="000000" w:sz="4" w:space="0"/>
              <w:bottom w:val="single" w:color="000000" w:sz="4" w:space="0"/>
              <w:right w:val="single" w:color="000000" w:sz="4" w:space="0"/>
            </w:tcBorders>
            <w:noWrap w:val="0"/>
            <w:vAlign w:val="center"/>
          </w:tcPr>
          <w:p w14:paraId="4AF565E1">
            <w:pPr>
              <w:keepNext w:val="0"/>
              <w:keepLines w:val="0"/>
              <w:widowControl/>
              <w:suppressLineNumbers w:val="0"/>
              <w:jc w:val="center"/>
              <w:textAlignment w:val="center"/>
              <w:rPr>
                <w:rFonts w:hint="eastAsia" w:ascii="宋体" w:hAnsi="宋体" w:eastAsia="宋体" w:cs="宋体"/>
                <w:i w:val="0"/>
                <w:iCs w:val="0"/>
                <w:color w:val="auto"/>
                <w:sz w:val="18"/>
                <w:szCs w:val="18"/>
                <w:highlight w:val="red"/>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1F73430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布鲁氏菌病原（环境）</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14:paraId="4009F253">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20</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64009C9A">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7</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13D3AFA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35%</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1B5DD409">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20</w:t>
            </w:r>
          </w:p>
        </w:tc>
        <w:tc>
          <w:tcPr>
            <w:tcW w:w="706" w:type="dxa"/>
            <w:tcBorders>
              <w:top w:val="single" w:color="000000" w:sz="4" w:space="0"/>
              <w:left w:val="single" w:color="000000" w:sz="4" w:space="0"/>
              <w:bottom w:val="single" w:color="000000" w:sz="4" w:space="0"/>
              <w:right w:val="single" w:color="000000" w:sz="4" w:space="0"/>
            </w:tcBorders>
            <w:noWrap/>
            <w:vAlign w:val="center"/>
          </w:tcPr>
          <w:p w14:paraId="7633D61F">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5</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72BB011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25%</w:t>
            </w:r>
          </w:p>
        </w:tc>
      </w:tr>
      <w:tr w14:paraId="7527D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026" w:type="dxa"/>
            <w:vMerge w:val="restart"/>
            <w:tcBorders>
              <w:top w:val="single" w:color="000000" w:sz="4" w:space="0"/>
              <w:left w:val="single" w:color="000000" w:sz="4" w:space="0"/>
              <w:bottom w:val="single" w:color="000000" w:sz="4" w:space="0"/>
              <w:right w:val="single" w:color="000000" w:sz="4" w:space="0"/>
            </w:tcBorders>
            <w:noWrap w:val="0"/>
            <w:vAlign w:val="center"/>
          </w:tcPr>
          <w:p w14:paraId="233FED84">
            <w:pPr>
              <w:keepNext w:val="0"/>
              <w:keepLines w:val="0"/>
              <w:widowControl/>
              <w:suppressLineNumbers w:val="0"/>
              <w:jc w:val="center"/>
              <w:textAlignment w:val="center"/>
              <w:rPr>
                <w:rFonts w:hint="eastAsia" w:ascii="宋体" w:hAnsi="宋体" w:eastAsia="宋体" w:cs="宋体"/>
                <w:i w:val="0"/>
                <w:iCs w:val="0"/>
                <w:color w:val="auto"/>
                <w:sz w:val="18"/>
                <w:szCs w:val="18"/>
                <w:highlight w:val="red"/>
                <w:u w:val="none"/>
              </w:rPr>
            </w:pPr>
            <w:r>
              <w:rPr>
                <w:rFonts w:hint="eastAsia" w:ascii="宋体" w:hAnsi="宋体" w:eastAsia="宋体" w:cs="宋体"/>
                <w:i w:val="0"/>
                <w:iCs w:val="0"/>
                <w:color w:val="auto"/>
                <w:sz w:val="18"/>
                <w:szCs w:val="18"/>
                <w:highlight w:val="none"/>
                <w:u w:val="none"/>
              </w:rPr>
              <w:t>贺兰县力农羊业有限公司</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084B93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布鲁氏菌免疫抗体（M5-90Δ26株）</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14:paraId="3A90D34E">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50</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26D8ADFC">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41</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7F13AB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82%</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428D8AF2">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50</w:t>
            </w:r>
          </w:p>
        </w:tc>
        <w:tc>
          <w:tcPr>
            <w:tcW w:w="706" w:type="dxa"/>
            <w:tcBorders>
              <w:top w:val="single" w:color="000000" w:sz="4" w:space="0"/>
              <w:left w:val="single" w:color="000000" w:sz="4" w:space="0"/>
              <w:bottom w:val="single" w:color="000000" w:sz="4" w:space="0"/>
              <w:right w:val="single" w:color="000000" w:sz="4" w:space="0"/>
            </w:tcBorders>
            <w:noWrap/>
            <w:vAlign w:val="center"/>
          </w:tcPr>
          <w:p w14:paraId="14D84A12">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46</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BE083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92%</w:t>
            </w:r>
          </w:p>
        </w:tc>
      </w:tr>
      <w:tr w14:paraId="5405B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026" w:type="dxa"/>
            <w:vMerge w:val="continue"/>
            <w:tcBorders>
              <w:left w:val="single" w:color="000000" w:sz="4" w:space="0"/>
              <w:right w:val="single" w:color="000000" w:sz="4" w:space="0"/>
            </w:tcBorders>
            <w:noWrap w:val="0"/>
            <w:vAlign w:val="center"/>
          </w:tcPr>
          <w:p w14:paraId="0A0692A0">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red"/>
                <w:u w:val="none"/>
                <w:lang w:val="en-US" w:eastAsia="zh-CN" w:bidi="ar"/>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725C7E1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布鲁氏菌病原（环境）</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14:paraId="3D6C90D5">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20</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033A503E">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5</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794674B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25%</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042F9556">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20</w:t>
            </w:r>
          </w:p>
        </w:tc>
        <w:tc>
          <w:tcPr>
            <w:tcW w:w="706" w:type="dxa"/>
            <w:tcBorders>
              <w:top w:val="single" w:color="000000" w:sz="4" w:space="0"/>
              <w:left w:val="single" w:color="000000" w:sz="4" w:space="0"/>
              <w:bottom w:val="single" w:color="000000" w:sz="4" w:space="0"/>
              <w:right w:val="single" w:color="000000" w:sz="4" w:space="0"/>
            </w:tcBorders>
            <w:noWrap/>
            <w:vAlign w:val="center"/>
          </w:tcPr>
          <w:p w14:paraId="742C0AAE">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4</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725E058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20%</w:t>
            </w:r>
          </w:p>
        </w:tc>
      </w:tr>
      <w:tr w14:paraId="3A762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026" w:type="dxa"/>
            <w:vMerge w:val="restart"/>
            <w:tcBorders>
              <w:top w:val="single" w:color="000000" w:sz="4" w:space="0"/>
              <w:left w:val="single" w:color="000000" w:sz="4" w:space="0"/>
              <w:bottom w:val="single" w:color="000000" w:sz="4" w:space="0"/>
              <w:right w:val="single" w:color="000000" w:sz="4" w:space="0"/>
            </w:tcBorders>
            <w:noWrap w:val="0"/>
            <w:vAlign w:val="center"/>
          </w:tcPr>
          <w:p w14:paraId="289341FF">
            <w:pPr>
              <w:keepNext w:val="0"/>
              <w:keepLines w:val="0"/>
              <w:widowControl/>
              <w:suppressLineNumbers w:val="0"/>
              <w:jc w:val="center"/>
              <w:textAlignment w:val="center"/>
              <w:rPr>
                <w:rFonts w:hint="eastAsia" w:ascii="宋体" w:hAnsi="宋体" w:eastAsia="宋体" w:cs="宋体"/>
                <w:i w:val="0"/>
                <w:iCs w:val="0"/>
                <w:color w:val="auto"/>
                <w:sz w:val="18"/>
                <w:szCs w:val="18"/>
                <w:highlight w:val="red"/>
                <w:u w:val="none"/>
              </w:rPr>
            </w:pPr>
            <w:r>
              <w:rPr>
                <w:rFonts w:hint="eastAsia" w:ascii="宋体" w:hAnsi="宋体" w:eastAsia="宋体" w:cs="宋体"/>
                <w:i w:val="0"/>
                <w:iCs w:val="0"/>
                <w:color w:val="auto"/>
                <w:sz w:val="18"/>
                <w:szCs w:val="18"/>
                <w:highlight w:val="none"/>
                <w:u w:val="none"/>
              </w:rPr>
              <w:t>宁夏农垦贺兰山牛羊产业（集团）有限公司</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6F6161B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布鲁氏菌免疫抗体（A19）</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14:paraId="58862625">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50</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5A26E331">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43</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5049D4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86%</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6E9F6FFF">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50</w:t>
            </w:r>
          </w:p>
        </w:tc>
        <w:tc>
          <w:tcPr>
            <w:tcW w:w="706" w:type="dxa"/>
            <w:tcBorders>
              <w:top w:val="single" w:color="000000" w:sz="4" w:space="0"/>
              <w:left w:val="single" w:color="000000" w:sz="4" w:space="0"/>
              <w:bottom w:val="single" w:color="000000" w:sz="4" w:space="0"/>
              <w:right w:val="single" w:color="000000" w:sz="4" w:space="0"/>
            </w:tcBorders>
            <w:noWrap/>
            <w:vAlign w:val="center"/>
          </w:tcPr>
          <w:p w14:paraId="57835F4F">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44</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6953479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88%</w:t>
            </w:r>
          </w:p>
        </w:tc>
      </w:tr>
      <w:tr w14:paraId="3F35C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026" w:type="dxa"/>
            <w:vMerge w:val="continue"/>
            <w:tcBorders>
              <w:left w:val="single" w:color="000000" w:sz="4" w:space="0"/>
              <w:bottom w:val="single" w:color="auto" w:sz="4" w:space="0"/>
              <w:right w:val="single" w:color="000000" w:sz="4" w:space="0"/>
            </w:tcBorders>
            <w:noWrap w:val="0"/>
            <w:vAlign w:val="center"/>
          </w:tcPr>
          <w:p w14:paraId="1AB42D7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0BADA81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布鲁氏菌病原（环境）</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14:paraId="15E6B105">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20</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1DCE01B7">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8</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09DD889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40%</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5ECEA10F">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20</w:t>
            </w:r>
          </w:p>
        </w:tc>
        <w:tc>
          <w:tcPr>
            <w:tcW w:w="706" w:type="dxa"/>
            <w:tcBorders>
              <w:top w:val="single" w:color="000000" w:sz="4" w:space="0"/>
              <w:left w:val="single" w:color="000000" w:sz="4" w:space="0"/>
              <w:bottom w:val="single" w:color="000000" w:sz="4" w:space="0"/>
              <w:right w:val="single" w:color="000000" w:sz="4" w:space="0"/>
            </w:tcBorders>
            <w:noWrap/>
            <w:vAlign w:val="center"/>
          </w:tcPr>
          <w:p w14:paraId="62D137EA">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5</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B68443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25%</w:t>
            </w:r>
          </w:p>
        </w:tc>
      </w:tr>
    </w:tbl>
    <w:p w14:paraId="42A8AF6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ascii="黑体" w:hAnsi="黑体" w:eastAsia="黑体" w:cs="黑体"/>
          <w:color w:val="auto"/>
          <w:sz w:val="32"/>
          <w:szCs w:val="32"/>
        </w:rPr>
      </w:pPr>
      <w:bookmarkStart w:id="20" w:name="_Toc12110"/>
      <w:r>
        <w:rPr>
          <w:rFonts w:hint="eastAsia" w:ascii="黑体" w:hAnsi="黑体" w:eastAsia="黑体" w:cs="黑体"/>
          <w:color w:val="auto"/>
          <w:sz w:val="32"/>
          <w:szCs w:val="32"/>
        </w:rPr>
        <w:t>六、重大意见分歧的处理依据</w:t>
      </w:r>
      <w:r>
        <w:rPr>
          <w:rFonts w:ascii="黑体" w:hAnsi="黑体" w:eastAsia="黑体" w:cs="黑体"/>
          <w:color w:val="auto"/>
          <w:sz w:val="32"/>
          <w:szCs w:val="32"/>
        </w:rPr>
        <w:t>和结果</w:t>
      </w:r>
      <w:bookmarkEnd w:id="20"/>
    </w:p>
    <w:p w14:paraId="1BCB58A5">
      <w:pPr>
        <w:keepNext w:val="0"/>
        <w:keepLines w:val="0"/>
        <w:pageBreakBefore w:val="0"/>
        <w:widowControl w:val="0"/>
        <w:kinsoku/>
        <w:wordWrap/>
        <w:overflowPunct/>
        <w:topLinePunct w:val="0"/>
        <w:autoSpaceDE/>
        <w:autoSpaceDN/>
        <w:bidi w:val="0"/>
        <w:adjustRightInd/>
        <w:snapToGrid/>
        <w:spacing w:line="600" w:lineRule="exact"/>
        <w:ind w:left="319" w:leftChars="152" w:firstLine="320" w:firstLineChars="1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本标准制定过程中无重大分歧意见。</w:t>
      </w:r>
    </w:p>
    <w:p w14:paraId="2FF6A51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ascii="黑体" w:hAnsi="黑体" w:eastAsia="黑体" w:cs="黑体"/>
          <w:color w:val="auto"/>
          <w:sz w:val="32"/>
          <w:szCs w:val="32"/>
        </w:rPr>
      </w:pPr>
      <w:bookmarkStart w:id="21" w:name="_Toc28202"/>
      <w:r>
        <w:rPr>
          <w:rFonts w:hint="eastAsia" w:ascii="黑体" w:hAnsi="黑体" w:eastAsia="黑体" w:cs="黑体"/>
          <w:color w:val="auto"/>
          <w:sz w:val="32"/>
          <w:szCs w:val="32"/>
        </w:rPr>
        <w:t>七、实施</w:t>
      </w:r>
      <w:r>
        <w:rPr>
          <w:rFonts w:ascii="黑体" w:hAnsi="黑体" w:eastAsia="黑体" w:cs="黑体"/>
          <w:color w:val="auto"/>
          <w:sz w:val="32"/>
          <w:szCs w:val="32"/>
        </w:rPr>
        <w:t>标准的措施及建议</w:t>
      </w:r>
      <w:bookmarkEnd w:id="21"/>
    </w:p>
    <w:p w14:paraId="7D5F153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本标准是宁夏首个专门针对</w:t>
      </w:r>
      <w:r>
        <w:rPr>
          <w:rFonts w:hint="eastAsia" w:ascii="仿宋_GB2312" w:hAnsi="仿宋_GB2312" w:eastAsia="仿宋_GB2312" w:cs="仿宋_GB2312"/>
          <w:color w:val="auto"/>
          <w:sz w:val="32"/>
          <w:szCs w:val="32"/>
          <w:lang w:val="en-US" w:eastAsia="zh-CN"/>
        </w:rPr>
        <w:t>牛羊布鲁氏菌病免疫操作进行规范的标准文件，填补了该领域空白。牛羊布鲁氏菌病免疫工作是当前及今后一定时期全国兽医行政主管部门牵头主抓的重要工作，建议在本标准颁布实施后，各级兽医行政主管部门牵头在本系统内（动物疾控机构、乡镇畜牧兽医站）开展标准的宣贯、培训工作。再分级分类组织专业技术人员开展对兽医社会化服务组织、牛羊养殖场等单位的宣贯和培训，确保标准得到广泛应用，充分发挥其在布鲁氏菌病防控中的技术支撑作用</w:t>
      </w:r>
      <w:r>
        <w:rPr>
          <w:rFonts w:hint="eastAsia" w:ascii="仿宋_GB2312" w:hAnsi="仿宋_GB2312" w:eastAsia="仿宋_GB2312" w:cs="仿宋_GB2312"/>
          <w:color w:val="auto"/>
          <w:sz w:val="32"/>
          <w:szCs w:val="32"/>
          <w:lang w:eastAsia="zh-CN"/>
        </w:rPr>
        <w:t>。</w:t>
      </w:r>
    </w:p>
    <w:p w14:paraId="4383707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ascii="黑体" w:hAnsi="黑体" w:eastAsia="黑体" w:cs="黑体"/>
          <w:color w:val="auto"/>
          <w:sz w:val="32"/>
          <w:szCs w:val="32"/>
        </w:rPr>
      </w:pPr>
      <w:bookmarkStart w:id="22" w:name="_Toc18285"/>
      <w:r>
        <w:rPr>
          <w:rFonts w:hint="eastAsia" w:ascii="黑体" w:hAnsi="黑体" w:eastAsia="黑体" w:cs="黑体"/>
          <w:color w:val="auto"/>
          <w:sz w:val="32"/>
          <w:szCs w:val="32"/>
        </w:rPr>
        <w:t>八、知识产权说明</w:t>
      </w:r>
      <w:bookmarkEnd w:id="22"/>
    </w:p>
    <w:p w14:paraId="5231CC80">
      <w:pPr>
        <w:keepNext w:val="0"/>
        <w:keepLines w:val="0"/>
        <w:pageBreakBefore w:val="0"/>
        <w:widowControl w:val="0"/>
        <w:kinsoku/>
        <w:wordWrap/>
        <w:overflowPunct/>
        <w:topLinePunct w:val="0"/>
        <w:autoSpaceDE/>
        <w:autoSpaceDN/>
        <w:bidi w:val="0"/>
        <w:adjustRightInd/>
        <w:snapToGrid/>
        <w:spacing w:line="600" w:lineRule="exact"/>
        <w:ind w:left="319" w:leftChars="152" w:firstLine="320" w:firstLineChars="1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本标准内容不涉及专利等相关知识产权。</w:t>
      </w:r>
    </w:p>
    <w:p w14:paraId="0098C83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ascii="黑体" w:hAnsi="黑体" w:eastAsia="黑体" w:cs="黑体"/>
          <w:color w:val="auto"/>
          <w:sz w:val="32"/>
          <w:szCs w:val="32"/>
        </w:rPr>
      </w:pPr>
      <w:bookmarkStart w:id="23" w:name="_Toc18382"/>
      <w:r>
        <w:rPr>
          <w:rFonts w:hint="eastAsia" w:ascii="黑体" w:hAnsi="黑体" w:eastAsia="黑体" w:cs="黑体"/>
          <w:color w:val="auto"/>
          <w:sz w:val="32"/>
          <w:szCs w:val="32"/>
        </w:rPr>
        <w:t>九、其他应说明的事项</w:t>
      </w:r>
      <w:bookmarkEnd w:id="23"/>
    </w:p>
    <w:p w14:paraId="431ABFC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w:t>
      </w:r>
    </w:p>
    <w:sectPr>
      <w:footerReference r:id="rId4" w:type="default"/>
      <w:pgSz w:w="11905" w:h="16838" w:orient="landscape"/>
      <w:pgMar w:top="1803" w:right="1440" w:bottom="1803" w:left="1440" w:header="851" w:footer="992" w:gutter="0"/>
      <w:pgNumType w:fmt="numberInDash" w:start="1"/>
      <w:cols w:space="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Calibri Light">
    <w:altName w:val="Times New Roman"/>
    <w:panose1 w:val="020F0302020204030204"/>
    <w:charset w:val="00"/>
    <w:family w:val="swiss"/>
    <w:pitch w:val="default"/>
    <w:sig w:usb0="00000000" w:usb1="00000000" w:usb2="00000009" w:usb3="00000000" w:csb0="200001FF"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mbols2">
    <w:panose1 w:val="020B0502040504020204"/>
    <w:charset w:val="00"/>
    <w:family w:val="auto"/>
    <w:pitch w:val="default"/>
    <w:sig w:usb0="80000003" w:usb1="0200E3E4" w:usb2="00040020" w:usb3="0580A048"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8B5CF">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BC41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11969">
                          <w:pPr>
                            <w:pStyle w:val="5"/>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4F11969">
                    <w:pPr>
                      <w:pStyle w:val="5"/>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bookFoldPrinting w:val="1"/>
  <w:bookFoldPrintingSheets w:val="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hNTE2OWFlYTc1MDY5NDk3ODg4MjEwM2RjYTA2MmIifQ=="/>
    <w:docVar w:name="KSO_WPS_MARK_KEY" w:val="87ac4bd0-72f5-49a2-9820-615e70a5b310"/>
  </w:docVars>
  <w:rsids>
    <w:rsidRoot w:val="235F70F3"/>
    <w:rsid w:val="00A66CA1"/>
    <w:rsid w:val="01280A9B"/>
    <w:rsid w:val="01C44520"/>
    <w:rsid w:val="022B5CD7"/>
    <w:rsid w:val="03FB053D"/>
    <w:rsid w:val="04DB15F7"/>
    <w:rsid w:val="075E7231"/>
    <w:rsid w:val="085E53BC"/>
    <w:rsid w:val="0ADF5418"/>
    <w:rsid w:val="0AF34350"/>
    <w:rsid w:val="0BF3D349"/>
    <w:rsid w:val="0CCF49A5"/>
    <w:rsid w:val="0F6725AF"/>
    <w:rsid w:val="11BE2DE2"/>
    <w:rsid w:val="129E5829"/>
    <w:rsid w:val="130F5C30"/>
    <w:rsid w:val="13CE3E6D"/>
    <w:rsid w:val="1757750B"/>
    <w:rsid w:val="1A28662A"/>
    <w:rsid w:val="1A7A6A40"/>
    <w:rsid w:val="1AEB6F83"/>
    <w:rsid w:val="1D214EDE"/>
    <w:rsid w:val="1EEBF082"/>
    <w:rsid w:val="1F7713A4"/>
    <w:rsid w:val="1FEDF376"/>
    <w:rsid w:val="22625D7D"/>
    <w:rsid w:val="235F70F3"/>
    <w:rsid w:val="23644EF3"/>
    <w:rsid w:val="24FB17E5"/>
    <w:rsid w:val="28377A9F"/>
    <w:rsid w:val="29F623F2"/>
    <w:rsid w:val="2AC12920"/>
    <w:rsid w:val="2BFF7451"/>
    <w:rsid w:val="2C0F6B5F"/>
    <w:rsid w:val="32113655"/>
    <w:rsid w:val="341020A8"/>
    <w:rsid w:val="34853B4C"/>
    <w:rsid w:val="353F10D0"/>
    <w:rsid w:val="35BE2CFC"/>
    <w:rsid w:val="366206E2"/>
    <w:rsid w:val="37BFD02D"/>
    <w:rsid w:val="37E9F7C2"/>
    <w:rsid w:val="37F7FA69"/>
    <w:rsid w:val="38AB430C"/>
    <w:rsid w:val="38C34C43"/>
    <w:rsid w:val="3A136E93"/>
    <w:rsid w:val="3B7A5565"/>
    <w:rsid w:val="3BB1E612"/>
    <w:rsid w:val="3C8A0576"/>
    <w:rsid w:val="3E1E76C5"/>
    <w:rsid w:val="3FB57EAF"/>
    <w:rsid w:val="3FF3FC48"/>
    <w:rsid w:val="40D53766"/>
    <w:rsid w:val="41406B83"/>
    <w:rsid w:val="45D4223E"/>
    <w:rsid w:val="45EADB65"/>
    <w:rsid w:val="464E0242"/>
    <w:rsid w:val="46DD6E39"/>
    <w:rsid w:val="473F1A7C"/>
    <w:rsid w:val="49B27967"/>
    <w:rsid w:val="4B4C27C2"/>
    <w:rsid w:val="4CFD5495"/>
    <w:rsid w:val="4D6B9CB0"/>
    <w:rsid w:val="4E6A7577"/>
    <w:rsid w:val="4F2831CE"/>
    <w:rsid w:val="4FB1DAA0"/>
    <w:rsid w:val="4FEE8F30"/>
    <w:rsid w:val="4FF68EF2"/>
    <w:rsid w:val="4FF72959"/>
    <w:rsid w:val="4FF7D119"/>
    <w:rsid w:val="512E03BE"/>
    <w:rsid w:val="513A747A"/>
    <w:rsid w:val="52E8398E"/>
    <w:rsid w:val="52EA5C8B"/>
    <w:rsid w:val="55195EBF"/>
    <w:rsid w:val="55BD4820"/>
    <w:rsid w:val="5767055B"/>
    <w:rsid w:val="57CA036C"/>
    <w:rsid w:val="57EB38BD"/>
    <w:rsid w:val="5A1355C2"/>
    <w:rsid w:val="5B61C754"/>
    <w:rsid w:val="5C7F8605"/>
    <w:rsid w:val="5DFB69A3"/>
    <w:rsid w:val="5F3EE9AD"/>
    <w:rsid w:val="5F6F56B2"/>
    <w:rsid w:val="5F8B6683"/>
    <w:rsid w:val="5FF67E77"/>
    <w:rsid w:val="6015374F"/>
    <w:rsid w:val="604069F6"/>
    <w:rsid w:val="60522837"/>
    <w:rsid w:val="61957E4C"/>
    <w:rsid w:val="6209072B"/>
    <w:rsid w:val="637A221F"/>
    <w:rsid w:val="662B5F60"/>
    <w:rsid w:val="66DA04BD"/>
    <w:rsid w:val="671F5688"/>
    <w:rsid w:val="67917B37"/>
    <w:rsid w:val="67993E76"/>
    <w:rsid w:val="692A2164"/>
    <w:rsid w:val="6965121E"/>
    <w:rsid w:val="6BE91865"/>
    <w:rsid w:val="6CCBCE3E"/>
    <w:rsid w:val="6D76B875"/>
    <w:rsid w:val="6DBEE788"/>
    <w:rsid w:val="6DFBA6E5"/>
    <w:rsid w:val="6F0F4163"/>
    <w:rsid w:val="71C92C1F"/>
    <w:rsid w:val="736E8B01"/>
    <w:rsid w:val="7737D5B0"/>
    <w:rsid w:val="7AAB900C"/>
    <w:rsid w:val="7B0BF4E3"/>
    <w:rsid w:val="7B8F067A"/>
    <w:rsid w:val="7BCE0F02"/>
    <w:rsid w:val="7CA82474"/>
    <w:rsid w:val="7DBC44E9"/>
    <w:rsid w:val="7DFD1016"/>
    <w:rsid w:val="7E77CB89"/>
    <w:rsid w:val="7F5EEDE7"/>
    <w:rsid w:val="7F769329"/>
    <w:rsid w:val="7F77518A"/>
    <w:rsid w:val="7F9FDF6E"/>
    <w:rsid w:val="7FBFD80A"/>
    <w:rsid w:val="7FFBD9EF"/>
    <w:rsid w:val="7FFD5B95"/>
    <w:rsid w:val="973F3BEE"/>
    <w:rsid w:val="976F3EA2"/>
    <w:rsid w:val="97FDCC94"/>
    <w:rsid w:val="99EF15BD"/>
    <w:rsid w:val="9BFFFF49"/>
    <w:rsid w:val="A167471B"/>
    <w:rsid w:val="ADFF5041"/>
    <w:rsid w:val="B6F78251"/>
    <w:rsid w:val="B73CA1D5"/>
    <w:rsid w:val="B7FFC334"/>
    <w:rsid w:val="BA59D74A"/>
    <w:rsid w:val="BD7B02FC"/>
    <w:rsid w:val="BEDF3C7B"/>
    <w:rsid w:val="BF78134E"/>
    <w:rsid w:val="BF7FD92F"/>
    <w:rsid w:val="BFDD134E"/>
    <w:rsid w:val="BFFB0116"/>
    <w:rsid w:val="C37D0711"/>
    <w:rsid w:val="D5BF5345"/>
    <w:rsid w:val="D9DE722D"/>
    <w:rsid w:val="DA762263"/>
    <w:rsid w:val="DB5FF27C"/>
    <w:rsid w:val="DBF969B8"/>
    <w:rsid w:val="DCFF79DB"/>
    <w:rsid w:val="DDF32BF4"/>
    <w:rsid w:val="DF7B83F7"/>
    <w:rsid w:val="DFA7D8E0"/>
    <w:rsid w:val="E6C04385"/>
    <w:rsid w:val="ECBB7974"/>
    <w:rsid w:val="ED1D0EB2"/>
    <w:rsid w:val="EDF88848"/>
    <w:rsid w:val="EF3BFEAB"/>
    <w:rsid w:val="EFD56290"/>
    <w:rsid w:val="EFD5FB34"/>
    <w:rsid w:val="F2378F81"/>
    <w:rsid w:val="F3AF4782"/>
    <w:rsid w:val="F3FF4040"/>
    <w:rsid w:val="F7FF86A8"/>
    <w:rsid w:val="F8BDF166"/>
    <w:rsid w:val="FA3FA3D7"/>
    <w:rsid w:val="FAA690EF"/>
    <w:rsid w:val="FB92C215"/>
    <w:rsid w:val="FBFB2B54"/>
    <w:rsid w:val="FCFFBA7B"/>
    <w:rsid w:val="FD3F2A90"/>
    <w:rsid w:val="FDF782EA"/>
    <w:rsid w:val="FF7991AB"/>
    <w:rsid w:val="FF7F4EDA"/>
    <w:rsid w:val="FF9F6FEF"/>
    <w:rsid w:val="FFEE6CDC"/>
    <w:rsid w:val="FFF7785B"/>
    <w:rsid w:val="FFFAF7ED"/>
    <w:rsid w:val="FFFDB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200" w:beforeLines="200" w:beforeAutospacing="0" w:after="100" w:afterLines="100" w:afterAutospacing="0" w:line="600" w:lineRule="exact"/>
      <w:jc w:val="center"/>
      <w:outlineLvl w:val="0"/>
    </w:pPr>
    <w:rPr>
      <w:rFonts w:ascii="Calibri" w:hAnsi="Calibri" w:eastAsia="方正小标宋简体" w:cs="Times New Roman"/>
      <w:kern w:val="44"/>
      <w:sz w:val="44"/>
    </w:rPr>
  </w:style>
  <w:style w:type="paragraph" w:styleId="4">
    <w:name w:val="heading 2"/>
    <w:basedOn w:val="1"/>
    <w:next w:val="1"/>
    <w:unhideWhenUsed/>
    <w:qFormat/>
    <w:uiPriority w:val="0"/>
    <w:pPr>
      <w:spacing w:before="100" w:beforeAutospacing="1" w:after="100" w:afterAutospacing="1"/>
      <w:jc w:val="left"/>
      <w:outlineLvl w:val="1"/>
    </w:pPr>
    <w:rPr>
      <w:rFonts w:hint="eastAsia" w:ascii="宋体" w:hAnsi="宋体" w:eastAsia="宋体" w:cs="Times New Roman"/>
      <w:b/>
      <w:kern w:val="0"/>
      <w:sz w:val="36"/>
      <w:szCs w:val="36"/>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paragraph" w:styleId="8">
    <w:name w:val="Title"/>
    <w:basedOn w:val="1"/>
    <w:next w:val="1"/>
    <w:qFormat/>
    <w:uiPriority w:val="0"/>
    <w:pPr>
      <w:spacing w:before="240" w:after="60"/>
      <w:jc w:val="center"/>
      <w:outlineLvl w:val="0"/>
    </w:pPr>
    <w:rPr>
      <w:rFonts w:asciiTheme="majorHAnsi" w:hAnsiTheme="majorHAnsi" w:eastAsiaTheme="majorEastAsia" w:cstheme="majorBidi"/>
      <w:b/>
      <w:bCs/>
      <w:sz w:val="32"/>
      <w:szCs w:val="32"/>
    </w:rPr>
  </w:style>
  <w:style w:type="character" w:styleId="11">
    <w:name w:val="Strong"/>
    <w:basedOn w:val="10"/>
    <w:qFormat/>
    <w:uiPriority w:val="0"/>
    <w:rPr>
      <w:b/>
    </w:rPr>
  </w:style>
  <w:style w:type="character" w:styleId="12">
    <w:name w:val="Emphasis"/>
    <w:basedOn w:val="10"/>
    <w:qFormat/>
    <w:uiPriority w:val="0"/>
    <w:rPr>
      <w:i/>
    </w:rPr>
  </w:style>
  <w:style w:type="paragraph" w:customStyle="1" w:styleId="1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4">
    <w:name w:val="font21"/>
    <w:basedOn w:val="10"/>
    <w:qFormat/>
    <w:uiPriority w:val="0"/>
    <w:rPr>
      <w:rFonts w:hint="eastAsia" w:ascii="宋体" w:hAnsi="宋体" w:eastAsia="宋体" w:cs="宋体"/>
      <w:b/>
      <w:bCs/>
      <w:color w:val="000000"/>
      <w:sz w:val="24"/>
      <w:szCs w:val="24"/>
      <w:u w:val="none"/>
    </w:rPr>
  </w:style>
  <w:style w:type="character" w:customStyle="1" w:styleId="15">
    <w:name w:val="font01"/>
    <w:basedOn w:val="10"/>
    <w:qFormat/>
    <w:uiPriority w:val="0"/>
    <w:rPr>
      <w:rFonts w:hint="eastAsia" w:ascii="宋体" w:hAnsi="宋体" w:eastAsia="宋体" w:cs="宋体"/>
      <w:color w:val="000000"/>
      <w:sz w:val="21"/>
      <w:szCs w:val="21"/>
      <w:u w:val="none"/>
    </w:rPr>
  </w:style>
  <w:style w:type="paragraph" w:customStyle="1" w:styleId="16">
    <w:name w:val="WPSOffice手动目录 1"/>
    <w:qFormat/>
    <w:uiPriority w:val="0"/>
    <w:pPr>
      <w:ind w:leftChars="0"/>
    </w:pPr>
    <w:rPr>
      <w:rFonts w:asciiTheme="minorHAnsi" w:hAnsiTheme="minorHAnsi" w:eastAsiaTheme="minorEastAsia" w:cstheme="minorBidi"/>
      <w:sz w:val="20"/>
      <w:szCs w:val="20"/>
    </w:rPr>
  </w:style>
  <w:style w:type="paragraph" w:customStyle="1" w:styleId="17">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5967</Words>
  <Characters>6333</Characters>
  <Lines>0</Lines>
  <Paragraphs>0</Paragraphs>
  <TotalTime>7</TotalTime>
  <ScaleCrop>false</ScaleCrop>
  <LinksUpToDate>false</LinksUpToDate>
  <CharactersWithSpaces>6467</CharactersWithSpaces>
  <Application>WPS Office_12.8.2.1117_F1E327BC-269C-435d-A152-05C5408002CA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2024-01-03T01:47:00Z</dcterms:created>
  <dc:creator>张建光</dc:creator>
  <cp:lastModifiedBy>admin</cp:lastModifiedBy>
  <cp:lastPrinted>2024-06-29T03:05:00Z</cp:lastPrinted>
  <dcterms:modified xsi:type="dcterms:W3CDTF">2026-01-06T12:48:37Z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2052-12.8.2.1117</vt:lpwstr>
  </property>
  <property fmtid="{D5CDD505-2E9C-101B-9397-08002B2CF9AE}" pid="3" name="ICV">
    <vt:lpwstr>928BA9307471CD1E007D5B696CF64EA9_43</vt:lpwstr>
  </property>
  <property fmtid="{D5CDD505-2E9C-101B-9397-08002B2CF9AE}" pid="4" name="KSOTemplateDocerSaveRecord">
    <vt:lpwstr>eyJoZGlkIjoiYTA4MGZmMjQ3NmNhMjgxNGRmNzZkOTFkMmIzODgwYWUiLCJ1c2VySWQiOiI1NjA0OTc0NzMifQ==</vt:lpwstr>
  </property>
</Properties>
</file>