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4F6D2">
      <w:pPr>
        <w:rPr>
          <w:rFonts w:hint="eastAsia" w:ascii="黑体" w:hAnsi="仿宋" w:eastAsia="黑体"/>
        </w:rPr>
      </w:pPr>
      <w:r>
        <w:rPr>
          <w:rFonts w:hint="eastAsia" w:ascii="黑体" w:hAnsi="仿宋" w:eastAsia="黑体"/>
        </w:rPr>
        <w:t>附件4</w:t>
      </w:r>
    </w:p>
    <w:p w14:paraId="31200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宁夏回族自治区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>盐碱地池塘中华绒螯蟹生态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养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>殖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技术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eastAsia="zh-CN"/>
        </w:rPr>
        <w:t>规范</w:t>
      </w:r>
      <w:r>
        <w:rPr>
          <w:rFonts w:hint="eastAsia" w:ascii="方正小标宋_GBK" w:hAnsi="黑体" w:eastAsia="方正小标宋_GBK"/>
          <w:sz w:val="44"/>
          <w:szCs w:val="44"/>
        </w:rPr>
        <w:t>地方标准</w:t>
      </w:r>
    </w:p>
    <w:p w14:paraId="2979B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  <w:lang w:eastAsia="zh-CN"/>
        </w:rPr>
        <w:t>（</w:t>
      </w:r>
      <w:r>
        <w:rPr>
          <w:rFonts w:hint="eastAsia" w:ascii="方正小标宋_GBK" w:hAnsi="黑体" w:eastAsia="方正小标宋_GBK"/>
          <w:sz w:val="44"/>
          <w:szCs w:val="44"/>
          <w:lang w:val="en-US" w:eastAsia="zh-CN"/>
        </w:rPr>
        <w:t>征求意见稿</w:t>
      </w:r>
      <w:r>
        <w:rPr>
          <w:rFonts w:hint="eastAsia" w:ascii="方正小标宋_GBK" w:hAnsi="黑体" w:eastAsia="方正小标宋_GBK"/>
          <w:sz w:val="44"/>
          <w:szCs w:val="44"/>
          <w:lang w:eastAsia="zh-CN"/>
        </w:rPr>
        <w:t>）</w:t>
      </w:r>
      <w:r>
        <w:rPr>
          <w:rFonts w:hint="eastAsia" w:ascii="方正小标宋_GBK" w:hAnsi="黑体" w:eastAsia="方正小标宋_GBK"/>
          <w:sz w:val="44"/>
          <w:szCs w:val="44"/>
        </w:rPr>
        <w:t>征求意见汇总处理表</w:t>
      </w:r>
    </w:p>
    <w:tbl>
      <w:tblPr>
        <w:tblStyle w:val="5"/>
        <w:tblW w:w="14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022"/>
        <w:gridCol w:w="4231"/>
        <w:gridCol w:w="2071"/>
        <w:gridCol w:w="3420"/>
      </w:tblGrid>
      <w:tr w14:paraId="672F4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588" w:type="dxa"/>
            <w:noWrap w:val="0"/>
            <w:vAlign w:val="center"/>
          </w:tcPr>
          <w:p w14:paraId="754931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pacing w:val="-23"/>
                <w:sz w:val="21"/>
                <w:szCs w:val="21"/>
              </w:rPr>
              <w:t>序号</w:t>
            </w:r>
          </w:p>
        </w:tc>
        <w:tc>
          <w:tcPr>
            <w:tcW w:w="4022" w:type="dxa"/>
            <w:noWrap w:val="0"/>
            <w:vAlign w:val="center"/>
          </w:tcPr>
          <w:p w14:paraId="082032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意见章条及原标准内容</w:t>
            </w:r>
          </w:p>
        </w:tc>
        <w:tc>
          <w:tcPr>
            <w:tcW w:w="4231" w:type="dxa"/>
            <w:noWrap w:val="0"/>
            <w:vAlign w:val="center"/>
          </w:tcPr>
          <w:p w14:paraId="1AE95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修改意见及依据</w:t>
            </w:r>
          </w:p>
        </w:tc>
        <w:tc>
          <w:tcPr>
            <w:tcW w:w="2071" w:type="dxa"/>
            <w:noWrap w:val="0"/>
            <w:vAlign w:val="center"/>
          </w:tcPr>
          <w:p w14:paraId="25235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提出单位</w:t>
            </w:r>
          </w:p>
        </w:tc>
        <w:tc>
          <w:tcPr>
            <w:tcW w:w="3420" w:type="dxa"/>
            <w:noWrap w:val="0"/>
            <w:vAlign w:val="center"/>
          </w:tcPr>
          <w:p w14:paraId="549B9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意见处理</w:t>
            </w:r>
          </w:p>
        </w:tc>
      </w:tr>
      <w:tr w14:paraId="6D8F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88" w:type="dxa"/>
            <w:noWrap w:val="0"/>
            <w:vAlign w:val="center"/>
          </w:tcPr>
          <w:p w14:paraId="3B2D8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4371FCF2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文本字体、格式、计量单位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7C593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部分字体、格式不符合GB/T1.1—2020规定，计量单位前后不一致，建议修改。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67D429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宁夏大学赵红雪，食品安全协会季瑞，中宁畜牧水产中心郭兴忠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04DA4C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按意见修改。</w:t>
            </w:r>
          </w:p>
        </w:tc>
      </w:tr>
      <w:tr w14:paraId="6C91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588" w:type="dxa"/>
            <w:noWrap w:val="0"/>
            <w:vAlign w:val="center"/>
          </w:tcPr>
          <w:p w14:paraId="04192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2D0410C6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标准名称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712DD3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建议修改为“盐碱地池塘中华绒螯蟹成蟹生态养殖技术规范”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77F3DB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贺兰渔业和葡萄酒发展中心刘欣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4E489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不采纳。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原表述符合标准要求，且正文“范围”中已明确。</w:t>
            </w:r>
          </w:p>
        </w:tc>
      </w:tr>
      <w:tr w14:paraId="2D1C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  <w:jc w:val="center"/>
        </w:trPr>
        <w:tc>
          <w:tcPr>
            <w:tcW w:w="588" w:type="dxa"/>
            <w:noWrap w:val="0"/>
            <w:vAlign w:val="center"/>
          </w:tcPr>
          <w:p w14:paraId="01C3A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19B9EBD1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 xml:space="preserve">1.范围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……提出了环境条件、养殖前准备、蟹种放养……等技术。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330C16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建议修改为“本文件规定了在盐碱地池塘开展中华绒鳌蟹生态养殖时的环境条件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等技术要求。”</w:t>
            </w:r>
          </w:p>
          <w:p w14:paraId="4D7989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建议删除“界定了中华绒螯蟹盐碱地池塘生态养殖的术语定义”一句，无需在范围中特别说明。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4091D0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标准化院薛蓬，食品安全协会季瑞，中宁畜牧水产中心郭兴忠</w:t>
            </w:r>
          </w:p>
        </w:tc>
        <w:tc>
          <w:tcPr>
            <w:tcW w:w="3420" w:type="dxa"/>
            <w:noWrap w:val="0"/>
            <w:vAlign w:val="center"/>
          </w:tcPr>
          <w:p w14:paraId="7C57D3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修改为“本文件规定了在盐碱地池塘开展中华绒鳌蟹生态养殖时的环境条件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等技术要求。”</w:t>
            </w:r>
          </w:p>
        </w:tc>
      </w:tr>
      <w:tr w14:paraId="7F03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88" w:type="dxa"/>
            <w:noWrap w:val="0"/>
            <w:vAlign w:val="center"/>
          </w:tcPr>
          <w:p w14:paraId="6D477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207B3774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2.规范性引用文件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1CFC58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GB/T 26435调整到GB 31650前面，按顺序号排序，不按强制性和推荐性标准排序。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0EE71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标准化院薛蓬，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食品安全协会季瑞</w:t>
            </w:r>
          </w:p>
        </w:tc>
        <w:tc>
          <w:tcPr>
            <w:tcW w:w="3420" w:type="dxa"/>
            <w:noWrap w:val="0"/>
            <w:vAlign w:val="center"/>
          </w:tcPr>
          <w:p w14:paraId="29DD5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按意见修改。</w:t>
            </w:r>
          </w:p>
        </w:tc>
      </w:tr>
      <w:tr w14:paraId="06A8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588" w:type="dxa"/>
            <w:noWrap w:val="0"/>
            <w:vAlign w:val="center"/>
          </w:tcPr>
          <w:p w14:paraId="39293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730EA769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3.术语定义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FBC1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建议对盐碱地、盐碱地池塘生态养殖定义。</w:t>
            </w:r>
          </w:p>
          <w:p w14:paraId="57F1B1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建议对生态养殖定义。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F183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水产所张锋，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兴庆畜牧水产中心孙红玲</w:t>
            </w:r>
          </w:p>
        </w:tc>
        <w:tc>
          <w:tcPr>
            <w:tcW w:w="3420" w:type="dxa"/>
            <w:noWrap w:val="0"/>
            <w:vAlign w:val="center"/>
          </w:tcPr>
          <w:p w14:paraId="75608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不采纳，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“盐碱水”能够解释清楚河蟹养殖的主要条件。</w:t>
            </w:r>
          </w:p>
        </w:tc>
      </w:tr>
      <w:tr w14:paraId="4BF5F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588" w:type="dxa"/>
            <w:noWrap w:val="0"/>
            <w:vAlign w:val="center"/>
          </w:tcPr>
          <w:p w14:paraId="19D33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62AE635A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3.1盐碱水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27924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建议定量描述，并明确不同类型盐碱水对河蟹养殖是否存在差异。</w:t>
            </w:r>
          </w:p>
          <w:p w14:paraId="2AF01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建议删除，全文仅出现1次，且不是重要技术内容。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034AE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宁夏大学赵红雪、邱小琮，标准化院薛蓬</w:t>
            </w:r>
          </w:p>
        </w:tc>
        <w:tc>
          <w:tcPr>
            <w:tcW w:w="3420" w:type="dxa"/>
            <w:noWrap w:val="0"/>
            <w:vAlign w:val="center"/>
          </w:tcPr>
          <w:p w14:paraId="4254A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部分采纳，盐碱水是养殖的主要用水。水质管理中有要求。</w:t>
            </w:r>
          </w:p>
        </w:tc>
      </w:tr>
      <w:tr w14:paraId="53FE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588" w:type="dxa"/>
            <w:noWrap w:val="0"/>
            <w:vAlign w:val="center"/>
          </w:tcPr>
          <w:p w14:paraId="507CAA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01B00C08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4.1生产基地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AADA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建议增加“通讯畅通”，便于环境监测与应急处理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1286BD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宁夏农校王永利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32AF49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按意见修改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4633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  <w:jc w:val="center"/>
        </w:trPr>
        <w:tc>
          <w:tcPr>
            <w:tcW w:w="588" w:type="dxa"/>
            <w:noWrap w:val="0"/>
            <w:vAlign w:val="center"/>
          </w:tcPr>
          <w:p w14:paraId="70CC94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17E54DEA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4.2养殖池塘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3F7E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建议分几项2级条表述更清楚；“东西排列”意思不明确；“宜建设养蟹环沟”建议修改为“池塘内应建设养蟹环沟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”</w:t>
            </w:r>
          </w:p>
          <w:p w14:paraId="5F6E9A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建议面积修改为“0.67 hm²～1.33 hm²”。</w:t>
            </w:r>
          </w:p>
          <w:p w14:paraId="5CB051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建议有效水深改为“1.2～1.8m”，淤泥深度改为“10～20cm”。</w:t>
            </w:r>
          </w:p>
          <w:p w14:paraId="138B2F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建议明确“防逃、拉鱼设施”的具体规格，如防逃网目径≤0.5cm、拦鱼网目径网目≤0.1cm，增强可操作性。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62EBFF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标准化院薛蓬，宁夏大学邱小琮，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兴庆畜牧水产中心孙红玲,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贺兰渔业和葡萄酒发展中心刘欣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57A3EE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部分采纳，养蟹环沟单列一级条，面积修改为“0.67 hm²～2.0 hm²”。</w:t>
            </w:r>
          </w:p>
        </w:tc>
      </w:tr>
      <w:tr w14:paraId="73FCF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588" w:type="dxa"/>
            <w:noWrap w:val="0"/>
            <w:vAlign w:val="center"/>
          </w:tcPr>
          <w:p w14:paraId="1EA96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5AAC42AF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4.3养殖水质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E32E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建议只保留“应符合GB/T43563的要求”，“水源充足，排灌方便，水质清新。”有重复。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605EA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标准化院薛蓬</w:t>
            </w:r>
          </w:p>
        </w:tc>
        <w:tc>
          <w:tcPr>
            <w:tcW w:w="3420" w:type="dxa"/>
            <w:noWrap w:val="0"/>
            <w:vAlign w:val="center"/>
          </w:tcPr>
          <w:p w14:paraId="79773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部分采纳，修改为“水源充足，排灌方便，养殖水质符合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”</w:t>
            </w:r>
          </w:p>
        </w:tc>
      </w:tr>
      <w:tr w14:paraId="60F7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588" w:type="dxa"/>
            <w:noWrap w:val="0"/>
            <w:vAlign w:val="center"/>
          </w:tcPr>
          <w:p w14:paraId="188F6C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53D32A4A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5AF2A8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建议增加“蟹种培育”章节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33D0C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中卫畜牧水产中心汪宏伟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19A0C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不采纳。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本标准在“范围”中已明确商品蟹养殖，蟹种培育是另一阶段，技术要求不同。</w:t>
            </w:r>
          </w:p>
        </w:tc>
      </w:tr>
      <w:tr w14:paraId="0D1F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588" w:type="dxa"/>
            <w:noWrap w:val="0"/>
            <w:vAlign w:val="center"/>
          </w:tcPr>
          <w:p w14:paraId="42467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2826ACCD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5.2清整消毒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2605E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“干池曝晒≥20 d”建议修改为“干池曝晒≥10 d”，原因是时间太长影响养殖；</w:t>
            </w:r>
          </w:p>
          <w:p w14:paraId="65661C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“加注新水30 cm后进行全池消毒”建议明确消毒药物的种类及用量，修改为“加注新水30 cm后用150 kg/667 m²生石灰或漂白进行全池消毒”，避免盲目用药。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D542D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水产所连总强，宁夏大学邱小琮，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贺兰渔业和葡萄酒发展中心刘欣</w:t>
            </w:r>
          </w:p>
        </w:tc>
        <w:tc>
          <w:tcPr>
            <w:tcW w:w="3420" w:type="dxa"/>
            <w:noWrap w:val="0"/>
            <w:vAlign w:val="center"/>
          </w:tcPr>
          <w:p w14:paraId="61029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部分采纳。曝晒属于消毒的一种，消毒药物符合国家最新公布的《水产养殖用药明白纸》的要求。</w:t>
            </w:r>
          </w:p>
        </w:tc>
      </w:tr>
      <w:tr w14:paraId="2D0C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47751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762D193B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5.3水草种植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1F2A5AA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建议明确适合水草种植时间段。</w:t>
            </w:r>
          </w:p>
          <w:p w14:paraId="3587F7A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建议明确单一种植还是多种混种，以及种植数量；“点状分布”表述不够清晰。</w:t>
            </w:r>
          </w:p>
          <w:p w14:paraId="4361CBE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建议补充“水草种植面积初期占池塘总面积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20%-30%，逐步扩繁至目标覆盖率”的阶段性要求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3D061B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宁夏大学赵红雪、邱小琮，标准化院薛蓬</w:t>
            </w:r>
          </w:p>
        </w:tc>
        <w:tc>
          <w:tcPr>
            <w:tcW w:w="3420" w:type="dxa"/>
            <w:noWrap w:val="0"/>
            <w:vAlign w:val="center"/>
          </w:tcPr>
          <w:p w14:paraId="69366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修改为“宜在4月上旬适时种植水草，品种以伊乐藻、轮叶黑藻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……等沉水性植物为主，株距……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”。</w:t>
            </w:r>
          </w:p>
        </w:tc>
      </w:tr>
      <w:tr w14:paraId="6DF3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784E4F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7E878615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5.5 建设防逃围栏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4825BB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建议明确“池塘四周1 m”的界限。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348ED4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水产所李力</w:t>
            </w:r>
          </w:p>
        </w:tc>
        <w:tc>
          <w:tcPr>
            <w:tcW w:w="3420" w:type="dxa"/>
            <w:noWrap w:val="0"/>
            <w:vAlign w:val="center"/>
          </w:tcPr>
          <w:p w14:paraId="728B4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纳，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修改为“防逃围栏宜采用</w:t>
            </w: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lang w:val="en-US" w:eastAsia="zh-CN"/>
              </w:rPr>
              <w:t>……等材料，距离池埂内侧1m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”。</w:t>
            </w:r>
          </w:p>
        </w:tc>
      </w:tr>
      <w:tr w14:paraId="10136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4C13A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3203CBEE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6.1品种选择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37A4E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建议修改为“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根据养殖环境条件、养殖周期及上市时间，科学选择长江、辽河、黄河等南北方不同水系蟹种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”。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4D102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水产所连总强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08179A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修改为“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……选择不同水系的河蟹蟹种，宜以长江水系的蟹种为主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”。</w:t>
            </w:r>
          </w:p>
        </w:tc>
      </w:tr>
      <w:tr w14:paraId="34CA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1850D6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05C9659A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6.3 放养时间规格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449EB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建议明确混养鱼类的密度、规格、比例。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2AEF57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宁夏大学赵红雪，标准化院薛蓬</w:t>
            </w:r>
          </w:p>
        </w:tc>
        <w:tc>
          <w:tcPr>
            <w:tcW w:w="3420" w:type="dxa"/>
            <w:noWrap w:val="0"/>
            <w:vAlign w:val="center"/>
          </w:tcPr>
          <w:p w14:paraId="37F726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部分采纳，修改为“……每667 m²放养50 尾～100 尾。”</w:t>
            </w:r>
          </w:p>
        </w:tc>
      </w:tr>
      <w:tr w14:paraId="67EE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3ACC1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22EA55F1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6.4 放养方法 外地调运的蟹种，先用池水反复浸泡 3 次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……，全池泼洒维生素C抗应激。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8DE6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建议明确浸泡时间和间隔。如：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食盐浓度3%-5%、药浴5-10分钟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高锰酸钾浓度10-20mg/L、药浴15-20分钟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0257F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建议明确泼洒维生素C的具体用量。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7E94CB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宁夏大学邱小琮，水产所张锋、李力</w:t>
            </w:r>
          </w:p>
        </w:tc>
        <w:tc>
          <w:tcPr>
            <w:tcW w:w="3420" w:type="dxa"/>
            <w:noWrap w:val="0"/>
            <w:vAlign w:val="center"/>
          </w:tcPr>
          <w:p w14:paraId="6211F1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部分采纳，修改为“蟹种采用食盐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……等药浴，池塘岸边自行下塘。外调蟹种宜池水浸润适应。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”</w:t>
            </w:r>
          </w:p>
        </w:tc>
      </w:tr>
      <w:tr w14:paraId="3F7D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7F607B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0935C64D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表1、表2、表3“养殖季节”列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5F46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建议将“≤XX℃”“≥XXg”等表述调整为区间形式（如3月水温“5-10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 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℃”、10月体重“150-200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 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g”），避免表述歧义。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34BE18BD">
            <w:pPr>
              <w:pStyle w:val="3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宁夏大学邱小琮</w:t>
            </w:r>
          </w:p>
        </w:tc>
        <w:tc>
          <w:tcPr>
            <w:tcW w:w="3420" w:type="dxa"/>
            <w:noWrap w:val="0"/>
            <w:vAlign w:val="center"/>
          </w:tcPr>
          <w:p w14:paraId="030A66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部分采纳。对表1进行修改，删除表2、表3。</w:t>
            </w:r>
          </w:p>
        </w:tc>
      </w:tr>
      <w:tr w14:paraId="2CD8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588" w:type="dxa"/>
            <w:noWrap w:val="0"/>
            <w:vAlign w:val="center"/>
          </w:tcPr>
          <w:p w14:paraId="580F5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1CB33B29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4"/>
                <w:szCs w:val="24"/>
                <w:lang w:val="en-US" w:eastAsia="zh-CN" w:bidi="ar-SA"/>
              </w:rPr>
              <w:t>7.1饲料种类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590E7D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建议说明动物性饲料的具体种类。</w:t>
            </w:r>
          </w:p>
          <w:p w14:paraId="16CE1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建议“玉米、黄豆等饲料宜蒸煮熟化”改为“玉米、黄豆等饲料宜蒸煮发酵熟化”。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15FB05CA">
            <w:pPr>
              <w:pStyle w:val="3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宁夏大学邱小琮，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水产所李力，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兴庆畜牧水产中心孙红玲</w:t>
            </w:r>
          </w:p>
        </w:tc>
        <w:tc>
          <w:tcPr>
            <w:tcW w:w="3420" w:type="dxa"/>
            <w:noWrap w:val="0"/>
            <w:vAlign w:val="center"/>
          </w:tcPr>
          <w:p w14:paraId="6FE4D8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修改为“……动物性饲料(螺、冰鲜鱼、冻鱼)等。配合饲料……玉米、黄豆等饲料宜蒸煮发酵熟化……。</w:t>
            </w:r>
          </w:p>
        </w:tc>
      </w:tr>
      <w:tr w14:paraId="4ABC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88" w:type="dxa"/>
            <w:noWrap w:val="0"/>
            <w:vAlign w:val="center"/>
          </w:tcPr>
          <w:p w14:paraId="0732E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367A9FD5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 xml:space="preserve">7.2投喂原则  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根据河蟹不同生长阶段的营养需求，按照……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60A85CA">
            <w:pPr>
              <w:pStyle w:val="3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建议对原则进行解释。</w:t>
            </w:r>
          </w:p>
          <w:p w14:paraId="14D97925">
            <w:pPr>
              <w:pStyle w:val="3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建议修改为“根据河蟹不同生长阶段的营养需求，适时调整投喂比例和投喂量，尤其要加强后期河蟹的育肥；按照……”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47C3E5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标准化院薛蓬，贺兰渔业和葡萄酒发展中心刘欣</w:t>
            </w:r>
          </w:p>
        </w:tc>
        <w:tc>
          <w:tcPr>
            <w:tcW w:w="3420" w:type="dxa"/>
            <w:noWrap w:val="0"/>
            <w:vAlign w:val="center"/>
          </w:tcPr>
          <w:p w14:paraId="541C2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将投喂原则放在7.4精细管理中表述，育肥环节单独列项陈述。</w:t>
            </w:r>
          </w:p>
        </w:tc>
      </w:tr>
      <w:tr w14:paraId="4D26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588" w:type="dxa"/>
            <w:noWrap w:val="0"/>
            <w:vAlign w:val="center"/>
          </w:tcPr>
          <w:p w14:paraId="5BFB6D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7E469549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  <w:t>7.3投喂方法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5FDF7F61">
            <w:pPr>
              <w:pStyle w:val="3"/>
              <w:rPr>
                <w:rFonts w:hint="eastAsia" w:ascii="仿宋" w:hAnsi="仿宋" w:eastAsia="仿宋" w:cs="仿宋"/>
                <w:spacing w:val="-1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建议补充配合饲料粗蛋白含量要求（如3-5月≥35%、6-8月≥28%、9-10月≥38%），</w:t>
            </w:r>
            <w:r>
              <w:rPr>
                <w:rFonts w:hint="eastAsia" w:ascii="仿宋" w:hAnsi="仿宋" w:eastAsia="仿宋" w:cs="仿宋"/>
                <w:spacing w:val="-17"/>
                <w:kern w:val="2"/>
                <w:sz w:val="24"/>
                <w:szCs w:val="24"/>
                <w:lang w:val="en-US" w:eastAsia="zh-CN" w:bidi="ar-SA"/>
              </w:rPr>
              <w:t>建议“其他月份抽喂1次”调整到“傍晚占70%”以后；根据天气适时调整，缺少调整方法和原则；建议表1备注中明确“每天投饵率(%)计算方法是河蟹重量的百分率”。</w:t>
            </w:r>
          </w:p>
          <w:p w14:paraId="58AAAF83">
            <w:pPr>
              <w:pStyle w:val="3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7"/>
                <w:kern w:val="2"/>
                <w:sz w:val="24"/>
                <w:szCs w:val="24"/>
                <w:lang w:val="en-US" w:eastAsia="zh-CN" w:bidi="ar-SA"/>
              </w:rPr>
              <w:t>表1注释位置应在表下方。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31DEF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宁夏大学邱小琮，标准化院薛蓬，贺兰渔业和葡萄酒发展中心刘欣，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兴庆畜牧水产中心孙红玲</w:t>
            </w:r>
          </w:p>
        </w:tc>
        <w:tc>
          <w:tcPr>
            <w:tcW w:w="3420" w:type="dxa"/>
            <w:noWrap w:val="0"/>
            <w:vAlign w:val="center"/>
          </w:tcPr>
          <w:p w14:paraId="2244A7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修改为“7.3 投喂数量  7.4精细管理 7.5强化培育”，表1中按意见进行修改。</w:t>
            </w:r>
          </w:p>
        </w:tc>
      </w:tr>
      <w:tr w14:paraId="604E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8" w:type="dxa"/>
            <w:noWrap w:val="0"/>
            <w:vAlign w:val="center"/>
          </w:tcPr>
          <w:p w14:paraId="0F585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1FD37243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pacing w:val="-1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lang w:val="en-US" w:eastAsia="zh-CN" w:bidi="ar-SA"/>
              </w:rPr>
              <w:t>8.水草管护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206CC4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建议在本章细化水草种植面积和布局面积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610DE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食品安全协会季瑞</w:t>
            </w:r>
          </w:p>
        </w:tc>
        <w:tc>
          <w:tcPr>
            <w:tcW w:w="3420" w:type="dxa"/>
            <w:noWrap w:val="0"/>
            <w:vAlign w:val="center"/>
          </w:tcPr>
          <w:p w14:paraId="5C7D3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采纳。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删除表2，整章修改为“8.1前期扩繁 8.2中期控制 8.3后期清除”，每节明确水草面积。</w:t>
            </w:r>
          </w:p>
        </w:tc>
      </w:tr>
      <w:tr w14:paraId="198C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88" w:type="dxa"/>
            <w:noWrap w:val="0"/>
            <w:vAlign w:val="center"/>
          </w:tcPr>
          <w:p w14:paraId="590DE4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436195B2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8.2水草控制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7D8F3C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表2中8月和9月水草的覆盖率都是50%，处理方法“控制”和”“捞出”的区别不清楚。</w:t>
            </w:r>
          </w:p>
          <w:p w14:paraId="18C962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表2名称建议修改为“河蟹养殖不同季节水草控制”，表中“管理要求”修改为“水草控制”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5983E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标准化院薛蓬，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兴庆畜牧水产中心孙红玲</w:t>
            </w:r>
          </w:p>
        </w:tc>
        <w:tc>
          <w:tcPr>
            <w:tcW w:w="3420" w:type="dxa"/>
            <w:noWrap w:val="0"/>
            <w:vAlign w:val="center"/>
          </w:tcPr>
          <w:p w14:paraId="380DE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部分采纳，删除表2，用文字陈述。</w:t>
            </w:r>
          </w:p>
        </w:tc>
      </w:tr>
      <w:tr w14:paraId="23FC5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88" w:type="dxa"/>
            <w:noWrap w:val="0"/>
            <w:vAlign w:val="center"/>
          </w:tcPr>
          <w:p w14:paraId="1B3C6E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22A62D13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9.3调控底质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738C84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明确底质改良剂的使用频率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4BD74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建议修改为“定期全池泼洒过氧化钙、芽孢杆菌、硝化菌等底质改良剂，泼洒时机与频率宜根据水质、底质监测结果及养殖阶段确定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660A6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宁夏大学邱小琮</w:t>
            </w:r>
          </w:p>
          <w:p w14:paraId="1A9B5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兴庆畜牧水产中心孙红玲</w:t>
            </w:r>
          </w:p>
        </w:tc>
        <w:tc>
          <w:tcPr>
            <w:tcW w:w="3420" w:type="dxa"/>
            <w:noWrap w:val="0"/>
            <w:vAlign w:val="center"/>
          </w:tcPr>
          <w:p w14:paraId="2D6B09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修改为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“定期全池泼洒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，泼洒时机与频率宜根据水质、底质监测结果及养殖阶段确定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DDC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88" w:type="dxa"/>
            <w:noWrap w:val="0"/>
            <w:vAlign w:val="center"/>
          </w:tcPr>
          <w:p w14:paraId="271137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7A277873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 xml:space="preserve">9.4水质指标 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6F063A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建议“水体盐度≤3 ‰”使用“离子总量”指标；总碱度单位为mmol/L；补充“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总硬度≥80mg/L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指标。</w:t>
            </w:r>
          </w:p>
          <w:p w14:paraId="2D9634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建议9.4提前至9.2之后，作为水质调控的目标依据。</w:t>
            </w:r>
          </w:p>
          <w:p w14:paraId="3D873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建议取消本条，GB/T 43563中核心水质指标要求已包括。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2B41FA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宁夏大学赵红雪、邱小琮，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>兴庆畜牧水产中心孙红玲</w:t>
            </w:r>
          </w:p>
        </w:tc>
        <w:tc>
          <w:tcPr>
            <w:tcW w:w="3420" w:type="dxa"/>
            <w:noWrap w:val="0"/>
            <w:vAlign w:val="center"/>
          </w:tcPr>
          <w:p w14:paraId="51BAC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部分采纳，修改为“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总碱度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≤10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 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mmol/L，总硬度≥80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 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mg/L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”。</w:t>
            </w:r>
          </w:p>
        </w:tc>
      </w:tr>
      <w:tr w14:paraId="738D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88" w:type="dxa"/>
            <w:noWrap w:val="0"/>
            <w:vAlign w:val="center"/>
          </w:tcPr>
          <w:p w14:paraId="3BC50B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66052B38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0" w:beforeLines="0" w:after="0" w:afterLines="0" w:line="24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10日常管理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6BB3D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建议增加1条“每天12点～15点、23点～翌日7点开启增氧机”，保证河蟹优良生长环境。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55FC4E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贺兰渔业和葡萄酒发展中心刘欣</w:t>
            </w:r>
          </w:p>
        </w:tc>
        <w:tc>
          <w:tcPr>
            <w:tcW w:w="3420" w:type="dxa"/>
            <w:noWrap w:val="0"/>
            <w:vAlign w:val="center"/>
          </w:tcPr>
          <w:p w14:paraId="0836E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增氧机的使用在水质调控章节作以说明。</w:t>
            </w:r>
          </w:p>
        </w:tc>
      </w:tr>
      <w:tr w14:paraId="7766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88" w:type="dxa"/>
            <w:noWrap w:val="0"/>
            <w:vAlign w:val="center"/>
          </w:tcPr>
          <w:p w14:paraId="0FB145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09D57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10.2蜕壳期管理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0050D9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建议补充针对盐碱水环境的蜕壳期管理措施。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70238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宁夏大学赵红雪</w:t>
            </w:r>
          </w:p>
        </w:tc>
        <w:tc>
          <w:tcPr>
            <w:tcW w:w="3420" w:type="dxa"/>
            <w:noWrap w:val="0"/>
            <w:vAlign w:val="center"/>
          </w:tcPr>
          <w:p w14:paraId="4A126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部分采纳，修改为“确定河蟹每月蜕壳时期。蜕壳前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”。</w:t>
            </w:r>
          </w:p>
        </w:tc>
      </w:tr>
      <w:tr w14:paraId="022BA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8" w:type="dxa"/>
            <w:noWrap w:val="0"/>
            <w:vAlign w:val="center"/>
          </w:tcPr>
          <w:p w14:paraId="1279D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4022" w:type="dxa"/>
            <w:noWrap w:val="0"/>
            <w:vAlign w:val="center"/>
          </w:tcPr>
          <w:p w14:paraId="4413E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11.3病害治疗</w:t>
            </w:r>
          </w:p>
        </w:tc>
        <w:tc>
          <w:tcPr>
            <w:tcW w:w="4231" w:type="dxa"/>
            <w:noWrap w:val="0"/>
            <w:vAlign w:val="center"/>
          </w:tcPr>
          <w:p w14:paraId="37B56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建议补充常见疾病的具体防治方案，并明确中草药渔药的推荐种类。</w:t>
            </w:r>
          </w:p>
        </w:tc>
        <w:tc>
          <w:tcPr>
            <w:tcW w:w="2071" w:type="dxa"/>
            <w:noWrap w:val="0"/>
            <w:vAlign w:val="center"/>
          </w:tcPr>
          <w:p w14:paraId="44631D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宁夏大学邱小琮</w:t>
            </w:r>
          </w:p>
        </w:tc>
        <w:tc>
          <w:tcPr>
            <w:tcW w:w="3420" w:type="dxa"/>
            <w:noWrap w:val="0"/>
            <w:vAlign w:val="center"/>
          </w:tcPr>
          <w:p w14:paraId="22FD2E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部分采纳，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修改为“</w:t>
            </w: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……</w:t>
            </w:r>
            <w:r>
              <w:rPr>
                <w:rFonts w:hint="eastAsia" w:ascii="仿宋" w:hAnsi="仿宋" w:eastAsia="仿宋" w:cs="仿宋"/>
                <w:color w:val="auto"/>
                <w:spacing w:val="-11"/>
                <w:kern w:val="2"/>
                <w:sz w:val="24"/>
                <w:szCs w:val="24"/>
                <w:lang w:val="en-US" w:eastAsia="zh-CN" w:bidi="ar-SA"/>
              </w:rPr>
              <w:t>应科学诊断，对症治疗，处方用药。水产养殖用兽药使用应符合SC/T 1132的规定，以及国家最新公布的《水产养殖用药明白纸》的要求。”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。</w:t>
            </w:r>
          </w:p>
        </w:tc>
      </w:tr>
      <w:tr w14:paraId="1BA9E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8" w:type="dxa"/>
            <w:noWrap w:val="0"/>
            <w:vAlign w:val="center"/>
          </w:tcPr>
          <w:p w14:paraId="080FD2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4022" w:type="dxa"/>
            <w:shd w:val="clear" w:color="auto" w:fill="auto"/>
            <w:noWrap w:val="0"/>
            <w:vAlign w:val="center"/>
          </w:tcPr>
          <w:p w14:paraId="34D96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12捕捞销售</w:t>
            </w:r>
          </w:p>
        </w:tc>
        <w:tc>
          <w:tcPr>
            <w:tcW w:w="4231" w:type="dxa"/>
            <w:shd w:val="clear" w:color="auto" w:fill="auto"/>
            <w:noWrap w:val="0"/>
            <w:vAlign w:val="center"/>
          </w:tcPr>
          <w:p w14:paraId="76306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建议“分规格、分雌雄、分袋包装销售”。</w:t>
            </w:r>
          </w:p>
        </w:tc>
        <w:tc>
          <w:tcPr>
            <w:tcW w:w="2071" w:type="dxa"/>
            <w:shd w:val="clear" w:color="auto" w:fill="auto"/>
            <w:noWrap w:val="0"/>
            <w:vAlign w:val="center"/>
          </w:tcPr>
          <w:p w14:paraId="1ED99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贺兰渔业和葡萄酒发展中心刘欣</w:t>
            </w:r>
          </w:p>
        </w:tc>
        <w:tc>
          <w:tcPr>
            <w:tcW w:w="3420" w:type="dxa"/>
            <w:shd w:val="clear" w:color="auto" w:fill="auto"/>
            <w:noWrap w:val="0"/>
            <w:vAlign w:val="center"/>
          </w:tcPr>
          <w:p w14:paraId="30039E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采纳，在12.1达评中表述。</w:t>
            </w:r>
          </w:p>
        </w:tc>
      </w:tr>
      <w:tr w14:paraId="5619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88" w:type="dxa"/>
            <w:noWrap w:val="0"/>
            <w:vAlign w:val="center"/>
          </w:tcPr>
          <w:p w14:paraId="477C2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4022" w:type="dxa"/>
            <w:noWrap w:val="0"/>
            <w:vAlign w:val="center"/>
          </w:tcPr>
          <w:p w14:paraId="397044B9">
            <w:pPr>
              <w:pStyle w:val="9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 w:val="0"/>
              <w:spacing w:before="0" w:beforeLines="0" w:after="0" w:afterLines="0" w:line="3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12.2强化培育</w:t>
            </w:r>
          </w:p>
        </w:tc>
        <w:tc>
          <w:tcPr>
            <w:tcW w:w="4231" w:type="dxa"/>
            <w:noWrap w:val="0"/>
            <w:vAlign w:val="center"/>
          </w:tcPr>
          <w:p w14:paraId="66228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建议与12.1顺序互换，先进行强化育肥，再通过检评确认达标后捕捞。</w:t>
            </w:r>
          </w:p>
          <w:p w14:paraId="14ADF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“采用傍晚人工岸边捕捉、设置蟹笼池中捕捞等方式收获”，建议修改为“采用傍晚岸边人工捕捉、池中设置蟹笼捕捞等方式收获”。</w:t>
            </w:r>
          </w:p>
          <w:p w14:paraId="265CA6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建议提出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强化育肥的条件或设施，这样可操作性更强。</w:t>
            </w:r>
          </w:p>
        </w:tc>
        <w:tc>
          <w:tcPr>
            <w:tcW w:w="2071" w:type="dxa"/>
            <w:noWrap w:val="0"/>
            <w:vAlign w:val="center"/>
          </w:tcPr>
          <w:p w14:paraId="6F7E69E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1"/>
                <w:kern w:val="2"/>
                <w:sz w:val="24"/>
                <w:szCs w:val="24"/>
                <w:lang w:val="en-US" w:eastAsia="zh-CN" w:bidi="ar-SA"/>
              </w:rPr>
              <w:t>宁夏大学邱小琮、赵红雪，水产所连总强，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贺兰渔业和葡萄酒发展中心刘欣</w:t>
            </w:r>
          </w:p>
        </w:tc>
        <w:tc>
          <w:tcPr>
            <w:tcW w:w="3420" w:type="dxa"/>
            <w:noWrap w:val="0"/>
            <w:vAlign w:val="center"/>
          </w:tcPr>
          <w:p w14:paraId="06293D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kern w:val="2"/>
                <w:sz w:val="24"/>
                <w:szCs w:val="24"/>
                <w:lang w:val="en-US" w:eastAsia="zh-CN" w:bidi="ar-SA"/>
              </w:rPr>
              <w:t>采纳，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将该项内容分成2条7.5强化培育和12.3捕捞方法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1485FD70">
      <w:pPr>
        <w:rPr>
          <w:rFonts w:hint="eastAsia" w:ascii="宋体" w:hAnsi="宋体"/>
          <w:sz w:val="24"/>
        </w:rPr>
      </w:pPr>
    </w:p>
    <w:sectPr>
      <w:pgSz w:w="16838" w:h="11906" w:orient="landscape"/>
      <w:pgMar w:top="1570" w:right="1440" w:bottom="145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1"/>
      <w:suff w:val="nothing"/>
      <w:lvlText w:val="%1　"/>
      <w:lvlJc w:val="left"/>
      <w:pPr>
        <w:ind w:left="0" w:firstLine="0"/>
      </w:pPr>
    </w:lvl>
    <w:lvl w:ilvl="1" w:tentative="0">
      <w:start w:val="1"/>
      <w:numFmt w:val="decimal"/>
      <w:pStyle w:val="9"/>
      <w:suff w:val="nothing"/>
      <w:lvlText w:val="%1.%2　"/>
      <w:lvlJc w:val="left"/>
      <w:pPr>
        <w:ind w:left="1980" w:firstLine="0"/>
      </w:pPr>
    </w:lvl>
    <w:lvl w:ilvl="2" w:tentative="0">
      <w:start w:val="1"/>
      <w:numFmt w:val="decimal"/>
      <w:pStyle w:val="10"/>
      <w:suff w:val="nothing"/>
      <w:lvlText w:val="%1.%2.%3　"/>
      <w:lvlJc w:val="left"/>
      <w:pPr>
        <w:ind w:left="180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rPr>
        <w:rFonts w:hint="eastAsia" w:cs="Times New Roman"/>
      </w:rPr>
    </w:lvl>
    <w:lvl w:ilvl="1" w:tentative="0">
      <w:start w:val="1"/>
      <w:numFmt w:val="decimal"/>
      <w:suff w:val="nothing"/>
      <w:lvlText w:val="%1%2　"/>
      <w:lvlJc w:val="left"/>
      <w:rPr>
        <w:rFonts w:hint="eastAsia" w:ascii="黑体" w:eastAsia="黑体" w:cs="Times New Roman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3"/>
      <w:suff w:val="nothing"/>
      <w:lvlText w:val="%1%2.%3.%4　"/>
      <w:lvlJc w:val="left"/>
      <w:rPr>
        <w:rFonts w:hint="eastAsia" w:ascii="黑体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rPr>
        <w:rFonts w:hint="eastAsia" w:ascii="黑体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rPr>
        <w:rFonts w:hint="eastAsia" w:ascii="黑体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iNTE2ZmQwZDQyMGU2MDQ1ZDVjZjgzZDc3ZjI5NDgifQ=="/>
  </w:docVars>
  <w:rsids>
    <w:rsidRoot w:val="75ECD097"/>
    <w:rsid w:val="000528B1"/>
    <w:rsid w:val="00F658D2"/>
    <w:rsid w:val="01093F7D"/>
    <w:rsid w:val="05AC4A86"/>
    <w:rsid w:val="06852D37"/>
    <w:rsid w:val="07486A93"/>
    <w:rsid w:val="09AE7AF6"/>
    <w:rsid w:val="0B957041"/>
    <w:rsid w:val="0C1E10D8"/>
    <w:rsid w:val="0D353136"/>
    <w:rsid w:val="10D76B33"/>
    <w:rsid w:val="10E5191E"/>
    <w:rsid w:val="119333A6"/>
    <w:rsid w:val="128D20FC"/>
    <w:rsid w:val="13AE5B30"/>
    <w:rsid w:val="1C875AAB"/>
    <w:rsid w:val="1D1A7A30"/>
    <w:rsid w:val="1DC03167"/>
    <w:rsid w:val="22204D82"/>
    <w:rsid w:val="23CC1079"/>
    <w:rsid w:val="23CC3EE1"/>
    <w:rsid w:val="2460081A"/>
    <w:rsid w:val="249D12EE"/>
    <w:rsid w:val="284C006F"/>
    <w:rsid w:val="2AA6683B"/>
    <w:rsid w:val="2ABE16F8"/>
    <w:rsid w:val="309365FD"/>
    <w:rsid w:val="330B7D6A"/>
    <w:rsid w:val="33661445"/>
    <w:rsid w:val="33AE13D9"/>
    <w:rsid w:val="35366BDD"/>
    <w:rsid w:val="38C117BA"/>
    <w:rsid w:val="3A646A96"/>
    <w:rsid w:val="3CC27197"/>
    <w:rsid w:val="3D0F0B5C"/>
    <w:rsid w:val="3D6F3B7E"/>
    <w:rsid w:val="3E685710"/>
    <w:rsid w:val="3F222B2D"/>
    <w:rsid w:val="416D399E"/>
    <w:rsid w:val="451945E4"/>
    <w:rsid w:val="45352A70"/>
    <w:rsid w:val="491337C8"/>
    <w:rsid w:val="4C2156FB"/>
    <w:rsid w:val="4E1647D8"/>
    <w:rsid w:val="4ED22454"/>
    <w:rsid w:val="500B6764"/>
    <w:rsid w:val="500D7CD6"/>
    <w:rsid w:val="503B512F"/>
    <w:rsid w:val="51CD385C"/>
    <w:rsid w:val="541315DA"/>
    <w:rsid w:val="54685182"/>
    <w:rsid w:val="55BB6F76"/>
    <w:rsid w:val="570D3802"/>
    <w:rsid w:val="57262628"/>
    <w:rsid w:val="58DB1089"/>
    <w:rsid w:val="593A11E0"/>
    <w:rsid w:val="594165E6"/>
    <w:rsid w:val="5A44578C"/>
    <w:rsid w:val="5AB541E3"/>
    <w:rsid w:val="5B7F0963"/>
    <w:rsid w:val="5BBA2F1B"/>
    <w:rsid w:val="5D2E5BEC"/>
    <w:rsid w:val="5D4A187C"/>
    <w:rsid w:val="608E1034"/>
    <w:rsid w:val="60DD5FF3"/>
    <w:rsid w:val="61CA79BF"/>
    <w:rsid w:val="6294143F"/>
    <w:rsid w:val="62A303FC"/>
    <w:rsid w:val="634D74F9"/>
    <w:rsid w:val="66255E71"/>
    <w:rsid w:val="677F7F74"/>
    <w:rsid w:val="68EA0E7B"/>
    <w:rsid w:val="693F0211"/>
    <w:rsid w:val="6BC13081"/>
    <w:rsid w:val="6BD438E5"/>
    <w:rsid w:val="6D370E3C"/>
    <w:rsid w:val="6E58336E"/>
    <w:rsid w:val="6E707655"/>
    <w:rsid w:val="6F215C44"/>
    <w:rsid w:val="71494FDF"/>
    <w:rsid w:val="716D5EA5"/>
    <w:rsid w:val="74420819"/>
    <w:rsid w:val="74801C8A"/>
    <w:rsid w:val="75AD0232"/>
    <w:rsid w:val="75ECD097"/>
    <w:rsid w:val="76FA1BF5"/>
    <w:rsid w:val="77550BCF"/>
    <w:rsid w:val="7B9A6746"/>
    <w:rsid w:val="7CC233B6"/>
    <w:rsid w:val="7D596B9B"/>
    <w:rsid w:val="BF6DBA4B"/>
    <w:rsid w:val="FFC321BC"/>
    <w:rsid w:val="FFE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left="420" w:leftChars="200"/>
    </w:pPr>
  </w:style>
  <w:style w:type="paragraph" w:styleId="3">
    <w:name w:val="Balloon Text"/>
    <w:basedOn w:val="1"/>
    <w:semiHidden/>
    <w:qFormat/>
    <w:uiPriority w:val="99"/>
    <w:rPr>
      <w:sz w:val="18"/>
      <w:szCs w:val="18"/>
    </w:rPr>
  </w:style>
  <w:style w:type="paragraph" w:styleId="4">
    <w:name w:val="Body Text First Indent 2"/>
    <w:basedOn w:val="2"/>
    <w:next w:val="3"/>
    <w:qFormat/>
    <w:uiPriority w:val="99"/>
    <w:pPr>
      <w:spacing w:after="120"/>
      <w:ind w:left="200" w:firstLine="420" w:firstLineChars="200"/>
    </w:pPr>
    <w:rPr>
      <w:rFonts w:ascii="Times New Roma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一级条标题"/>
    <w:next w:val="8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二级条标题"/>
    <w:basedOn w:val="9"/>
    <w:next w:val="8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11">
    <w:name w:val="章标题"/>
    <w:next w:val="8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标准文件_二级条标题"/>
    <w:next w:val="12"/>
    <w:qFormat/>
    <w:uiPriority w:val="99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3174</Words>
  <Characters>3450</Characters>
  <Lines>0</Lines>
  <Paragraphs>0</Paragraphs>
  <TotalTime>1</TotalTime>
  <ScaleCrop>false</ScaleCrop>
  <LinksUpToDate>false</LinksUpToDate>
  <CharactersWithSpaces>3468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2023-10-08T07:27:00Z</dcterms:created>
  <dc:creator>nynct</dc:creator>
  <cp:lastModifiedBy>我已成仙、有事上天ミ</cp:lastModifiedBy>
  <cp:lastPrinted>2024-12-18T09:58:00Z</cp:lastPrinted>
  <dcterms:modified xsi:type="dcterms:W3CDTF">2026-01-14T09:10:49Z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3ACC40A4A98D4F33810E4CDC04D8F998_13</vt:lpwstr>
  </property>
  <property fmtid="{D5CDD505-2E9C-101B-9397-08002B2CF9AE}" pid="4" name="KSOTemplateDocerSaveRecord">
    <vt:lpwstr>eyJoZGlkIjoiMTRkNzc4NTAzNWI4M2EwZDc0MmRhMjMzMmI4OTgwMzgiLCJ1c2VySWQiOiI0ODA2OTUxNzcifQ==</vt:lpwstr>
  </property>
</Properties>
</file>