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DAF9E"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宁夏回族自治区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粮油作物一次性施肥技术规程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cr/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第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val="en-US" w:eastAsia="zh-CN"/>
        </w:rPr>
        <w:t>3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部分：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eastAsia="zh-CN"/>
        </w:rPr>
        <w:t>大豆玉米带状复合种植</w:t>
      </w:r>
      <w:r>
        <w:rPr>
          <w:rFonts w:hint="eastAsia" w:ascii="方正小标宋_GBK" w:hAnsi="黑体" w:eastAsia="方正小标宋_GBK"/>
          <w:sz w:val="44"/>
          <w:szCs w:val="44"/>
        </w:rPr>
        <w:t>地方标准征求意见汇总处理表</w:t>
      </w:r>
    </w:p>
    <w:p w14:paraId="633CE129"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</w:p>
    <w:tbl>
      <w:tblPr>
        <w:tblStyle w:val="4"/>
        <w:tblW w:w="14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4022"/>
        <w:gridCol w:w="4231"/>
        <w:gridCol w:w="2596"/>
        <w:gridCol w:w="2787"/>
      </w:tblGrid>
      <w:tr w14:paraId="4040B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3459122C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序号</w:t>
            </w:r>
          </w:p>
        </w:tc>
        <w:tc>
          <w:tcPr>
            <w:tcW w:w="4022" w:type="dxa"/>
            <w:noWrap w:val="0"/>
            <w:vAlign w:val="center"/>
          </w:tcPr>
          <w:p w14:paraId="0302B3D1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意见章条及原标准内容</w:t>
            </w:r>
          </w:p>
        </w:tc>
        <w:tc>
          <w:tcPr>
            <w:tcW w:w="4231" w:type="dxa"/>
            <w:noWrap w:val="0"/>
            <w:vAlign w:val="center"/>
          </w:tcPr>
          <w:p w14:paraId="620618CA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修改意见及依据</w:t>
            </w:r>
          </w:p>
        </w:tc>
        <w:tc>
          <w:tcPr>
            <w:tcW w:w="2596" w:type="dxa"/>
            <w:noWrap w:val="0"/>
            <w:vAlign w:val="center"/>
          </w:tcPr>
          <w:p w14:paraId="3C89A773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提出单位</w:t>
            </w:r>
          </w:p>
        </w:tc>
        <w:tc>
          <w:tcPr>
            <w:tcW w:w="2787" w:type="dxa"/>
            <w:noWrap w:val="0"/>
            <w:vAlign w:val="center"/>
          </w:tcPr>
          <w:p w14:paraId="4A32393D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意见处理</w:t>
            </w:r>
          </w:p>
        </w:tc>
      </w:tr>
      <w:tr w14:paraId="37F54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2567C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4022" w:type="dxa"/>
            <w:noWrap w:val="0"/>
            <w:vAlign w:val="center"/>
          </w:tcPr>
          <w:p w14:paraId="78E88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规程格式</w:t>
            </w:r>
          </w:p>
        </w:tc>
        <w:tc>
          <w:tcPr>
            <w:tcW w:w="4231" w:type="dxa"/>
            <w:noWrap w:val="0"/>
            <w:vAlign w:val="center"/>
          </w:tcPr>
          <w:p w14:paraId="74514AB4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Part和前面用破折号连接，英文翻译字体为四号黑体，取消文档保护功能可修改字体；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标准名</w:t>
            </w:r>
            <w:bookmarkStart w:id="3" w:name="_GoBack"/>
            <w:bookmarkEnd w:id="3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称和编号之间统一空一个汉字；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HG/T 4215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正文未引用删除。</w:t>
            </w:r>
          </w:p>
        </w:tc>
        <w:tc>
          <w:tcPr>
            <w:tcW w:w="2596" w:type="dxa"/>
            <w:noWrap w:val="0"/>
            <w:vAlign w:val="center"/>
          </w:tcPr>
          <w:p w14:paraId="642620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0BF229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6CCAE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42BF1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1EDBA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4022" w:type="dxa"/>
            <w:noWrap w:val="0"/>
            <w:vAlign w:val="center"/>
          </w:tcPr>
          <w:p w14:paraId="3ED760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第3 章术语和定义</w:t>
            </w:r>
          </w:p>
          <w:p w14:paraId="6A8A3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3.3来源</w:t>
            </w:r>
          </w:p>
        </w:tc>
        <w:tc>
          <w:tcPr>
            <w:tcW w:w="4231" w:type="dxa"/>
            <w:noWrap w:val="0"/>
            <w:vAlign w:val="center"/>
          </w:tcPr>
          <w:p w14:paraId="5E6B5D37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第3章术语和定义条目编号上下无空行，术语后加英文翻译，字体为五号黑体；3.3来源加上术语条目编号。</w:t>
            </w:r>
          </w:p>
        </w:tc>
        <w:tc>
          <w:tcPr>
            <w:tcW w:w="2596" w:type="dxa"/>
            <w:noWrap w:val="0"/>
            <w:vAlign w:val="center"/>
          </w:tcPr>
          <w:p w14:paraId="02CD3D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4B14F1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47D87A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691F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D5D64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4022" w:type="dxa"/>
            <w:noWrap w:val="0"/>
            <w:vAlign w:val="center"/>
          </w:tcPr>
          <w:p w14:paraId="4C16E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 5.4.1和5.4.1.1，5.4.2和5.4.2.1，5.2.3和5.2.3.1</w:t>
            </w:r>
          </w:p>
        </w:tc>
        <w:tc>
          <w:tcPr>
            <w:tcW w:w="4231" w:type="dxa"/>
            <w:noWrap w:val="0"/>
            <w:vAlign w:val="center"/>
          </w:tcPr>
          <w:p w14:paraId="500B553A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5.4.1和5.4.1.1，5.4.2和5.4.2.1，5.2.3和5.2.3.1之间的悬置段进行调整。</w:t>
            </w:r>
          </w:p>
        </w:tc>
        <w:tc>
          <w:tcPr>
            <w:tcW w:w="2596" w:type="dxa"/>
            <w:noWrap w:val="0"/>
            <w:vAlign w:val="center"/>
          </w:tcPr>
          <w:p w14:paraId="4C771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53EFB2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03B849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5E602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358DA5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4022" w:type="dxa"/>
            <w:noWrap w:val="0"/>
            <w:vAlign w:val="center"/>
          </w:tcPr>
          <w:p w14:paraId="79678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9章</w:t>
            </w:r>
          </w:p>
        </w:tc>
        <w:tc>
          <w:tcPr>
            <w:tcW w:w="4231" w:type="dxa"/>
            <w:noWrap w:val="0"/>
            <w:vAlign w:val="center"/>
          </w:tcPr>
          <w:p w14:paraId="0FC771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增加9.生产档案记载。</w:t>
            </w:r>
          </w:p>
        </w:tc>
        <w:tc>
          <w:tcPr>
            <w:tcW w:w="2596" w:type="dxa"/>
            <w:noWrap w:val="0"/>
            <w:vAlign w:val="center"/>
          </w:tcPr>
          <w:p w14:paraId="5E51C8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0876D2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04C8E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1DA6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588C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4022" w:type="dxa"/>
            <w:noWrap w:val="0"/>
            <w:vAlign w:val="center"/>
          </w:tcPr>
          <w:p w14:paraId="3F9C7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4章 整地播种</w:t>
            </w:r>
          </w:p>
        </w:tc>
        <w:tc>
          <w:tcPr>
            <w:tcW w:w="4231" w:type="dxa"/>
            <w:noWrap w:val="0"/>
            <w:vAlign w:val="center"/>
          </w:tcPr>
          <w:p w14:paraId="2017C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在结构问题上，整地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种和引用的相应标准是多余的，偏离标准主题</w:t>
            </w:r>
          </w:p>
        </w:tc>
        <w:tc>
          <w:tcPr>
            <w:tcW w:w="2596" w:type="dxa"/>
            <w:noWrap w:val="0"/>
            <w:vAlign w:val="center"/>
          </w:tcPr>
          <w:p w14:paraId="0296FE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</w:p>
          <w:p w14:paraId="3AEE3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60020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部分采纳：完善了整个规程的结构，保留了整地播种及相应引用标准。</w:t>
            </w:r>
          </w:p>
        </w:tc>
      </w:tr>
      <w:tr w14:paraId="62F2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6552C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4022" w:type="dxa"/>
            <w:noWrap w:val="0"/>
            <w:vAlign w:val="center"/>
          </w:tcPr>
          <w:p w14:paraId="7CF3F5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5.4.1.2 施肥方法</w:t>
            </w:r>
          </w:p>
        </w:tc>
        <w:tc>
          <w:tcPr>
            <w:tcW w:w="4231" w:type="dxa"/>
            <w:noWrap w:val="0"/>
            <w:vAlign w:val="center"/>
          </w:tcPr>
          <w:p w14:paraId="2300C1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建议将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同步播种施肥与分区播种施肥分两段。</w:t>
            </w:r>
          </w:p>
        </w:tc>
        <w:tc>
          <w:tcPr>
            <w:tcW w:w="2596" w:type="dxa"/>
            <w:noWrap w:val="0"/>
            <w:vAlign w:val="center"/>
          </w:tcPr>
          <w:p w14:paraId="727D65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</w:p>
          <w:p w14:paraId="768D0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52DCF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08AAD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77928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022" w:type="dxa"/>
            <w:noWrap w:val="0"/>
            <w:vAlign w:val="center"/>
          </w:tcPr>
          <w:p w14:paraId="0F677F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第5.2 微肥</w:t>
            </w:r>
          </w:p>
        </w:tc>
        <w:tc>
          <w:tcPr>
            <w:tcW w:w="4231" w:type="dxa"/>
            <w:noWrap w:val="0"/>
            <w:vAlign w:val="center"/>
          </w:tcPr>
          <w:p w14:paraId="18DD217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在硼肥施用方法上，先施翻耕或沟施，增加了生产成本，可与有机肥掺好一次性施入。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07ED2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</w:p>
          <w:p w14:paraId="1F665E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2772F0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4CCD7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74AF0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6EAD7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5.4.1.1和5.4.2.1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5CCB44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建议施肥量表，面积是毛面积还是净面积?应说清楚。玉米产800到1000公斤太高，大豆亩产低于80公斤没啥意义。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7A48CF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</w:p>
          <w:p w14:paraId="092261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67C750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部分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采纳。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多地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实地调研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一些种植大户或合作社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玉米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产量高达900kg以上，故保留900kg，去除1000kg目标产量及推荐施肥量。</w:t>
            </w:r>
          </w:p>
        </w:tc>
      </w:tr>
      <w:tr w14:paraId="63AC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60247F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65BF5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5.4.1.2 施肥方法和第5.4.2.2施肥方法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140A6A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在施肥上，无专用机械的，大豆肥料全田施，播种时不再施肥，建议施肥量边上的大豆施肥量是全田的还是大豆带的量，二者的使用量差别是很大的，应在表上分别说清楚。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31CE3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</w:p>
          <w:p w14:paraId="3CD3BB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14FB39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3D609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458B2A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55752C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第3 章术语和定义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14A5B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系列标准，共性术语定义在总则中已有，没必要在每个标准重复说，所以专用缓释配方肥和一次性施肥应删除。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2E167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</w:p>
          <w:p w14:paraId="5293C1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14973C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未采纳，粮油作物一次性施肥技术规程未作总则，故每一部分规程只简单阐述了缓释肥和一次性施肥技术定义</w:t>
            </w:r>
          </w:p>
        </w:tc>
      </w:tr>
      <w:tr w14:paraId="34FD6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7AF53A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75E3C98D">
            <w:pPr>
              <w:pStyle w:val="2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第3.3 大豆玉米带状复合种植</w:t>
            </w:r>
          </w:p>
          <w:p w14:paraId="6A9F776B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可有效解决玉米、大豆争地问题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1C9680E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6" w:line="400" w:lineRule="exact"/>
              <w:ind w:left="130" w:left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建议删去“可有效解决玉米、大豆争地问题。”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52B20E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04B2C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宋玉霞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A21E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全部采纳。</w:t>
            </w:r>
          </w:p>
        </w:tc>
      </w:tr>
      <w:tr w14:paraId="03B9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18D245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455B347E">
            <w:pPr>
              <w:pStyle w:val="2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第4.1 引（扬）黄灌区  扬黄灌区播种前及时灌水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085B1DB">
            <w:pPr>
              <w:pStyle w:val="2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建议将“扬黄灌区播种前及时灌水，”修改为“播种前及时灌水，”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3537E7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2972A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宋玉霞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3EB85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全部采纳。</w:t>
            </w:r>
          </w:p>
        </w:tc>
      </w:tr>
      <w:tr w14:paraId="05A5D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72783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131992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第5.2 微肥 稀释后均匀喷施于叶片正反面。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77171C59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5" w:line="400" w:lineRule="exact"/>
              <w:ind w:left="105" w:right="100" w:firstLine="17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建议将“稀释后均匀喷施于叶片正反面。”修改为“均匀喷施于叶片正反面。”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63A6CC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42F45B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宋玉霞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1688F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全部采纳。</w:t>
            </w:r>
          </w:p>
        </w:tc>
      </w:tr>
      <w:tr w14:paraId="3A01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7B51EE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564431D6">
            <w:pPr>
              <w:pStyle w:val="20"/>
              <w:keepNext w:val="0"/>
              <w:keepLines w:val="0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第5.3 根瘤菌菌剂</w:t>
            </w:r>
          </w:p>
          <w:p w14:paraId="31E88F3E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尽量当天接种当天播种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7FCE10FE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建议将尽量当天接种当天播种。” 修改为“当天接种当天播种。”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27A0DF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0F93A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宋玉霞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6732F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全部采纳。</w:t>
            </w:r>
          </w:p>
        </w:tc>
      </w:tr>
      <w:tr w14:paraId="119DB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34185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0D513617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instrText xml:space="preserve"> HYPERLINK "5.4.1.2" </w:instrTex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5.4.1.2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 xml:space="preserve"> 施肥方法</w:t>
            </w:r>
          </w:p>
          <w:p w14:paraId="5FF674FF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“具备大豆玉米带状复合种植专用播种机时，采用一体化种肥同播方式</w:t>
            </w:r>
          </w:p>
          <w:p w14:paraId="409CE44B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具备成熟的专用播种机，机械不能满足分区施肥时</w:t>
            </w:r>
          </w:p>
          <w:p w14:paraId="59D33F4D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大豆播种时再不带种肥。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48B2760A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将“具备大豆玉米带状复合种植专用播种机时，采用一体化种肥同播方式，”修改为“使用大豆玉米带状复合种植专用播种机时，采用一体化种肥同播方式，”；将“具备成熟的专用播种机，机械不能满足分区施肥时，”修改为“不使用  大豆玉米带状复合种植专用播种机时”将“大豆播种时再不带种肥。”修改为“大豆播 种时不再施种肥。”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3D9429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304099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宋玉霞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1D03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全部采纳。</w:t>
            </w:r>
          </w:p>
        </w:tc>
      </w:tr>
      <w:tr w14:paraId="7B4B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shd w:val="clear" w:color="auto" w:fill="auto"/>
            <w:noWrap w:val="0"/>
            <w:vAlign w:val="center"/>
          </w:tcPr>
          <w:p w14:paraId="094905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3057A8BA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第7章 病虫草害防治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48892D2B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建议“7病虫草害防治”最好提出具体防治方法、药剂等，列表附录。</w:t>
            </w:r>
          </w:p>
        </w:tc>
        <w:tc>
          <w:tcPr>
            <w:tcW w:w="2596" w:type="dxa"/>
            <w:shd w:val="clear" w:color="auto" w:fill="auto"/>
            <w:noWrap w:val="0"/>
            <w:vAlign w:val="center"/>
          </w:tcPr>
          <w:p w14:paraId="408528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3BE07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宋玉霞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513CDE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部分采纳，提出病虫草害防治参考标准，和使用药剂标准。</w:t>
            </w:r>
          </w:p>
        </w:tc>
      </w:tr>
      <w:tr w14:paraId="050C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31240C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4022" w:type="dxa"/>
            <w:noWrap w:val="0"/>
            <w:vAlign w:val="center"/>
          </w:tcPr>
          <w:p w14:paraId="1C0891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第1章 范围</w:t>
            </w:r>
          </w:p>
          <w:p w14:paraId="59111F66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本标准规定了大豆玉米带状复合种植一次性施肥技术的施肥量、施肥方法等要求。</w:t>
            </w:r>
          </w:p>
        </w:tc>
        <w:tc>
          <w:tcPr>
            <w:tcW w:w="4231" w:type="dxa"/>
            <w:noWrap w:val="0"/>
            <w:vAlign w:val="center"/>
          </w:tcPr>
          <w:p w14:paraId="38F54577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3" w:line="400" w:lineRule="exact"/>
              <w:ind w:left="115" w:right="209" w:firstLine="6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建议表述完整：本文件规定了小麦一次性施肥技术的整地、播种、施肥量与施肥方法、灌溉、病虫草害防治、收获及生产档案记载等技术要求。</w:t>
            </w:r>
          </w:p>
        </w:tc>
        <w:tc>
          <w:tcPr>
            <w:tcW w:w="2596" w:type="dxa"/>
            <w:noWrap w:val="0"/>
            <w:vAlign w:val="center"/>
          </w:tcPr>
          <w:p w14:paraId="786D3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080624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5B1F61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全部采纳。</w:t>
            </w:r>
          </w:p>
        </w:tc>
      </w:tr>
      <w:tr w14:paraId="53E89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5CF56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022" w:type="dxa"/>
            <w:noWrap w:val="0"/>
            <w:vAlign w:val="center"/>
          </w:tcPr>
          <w:p w14:paraId="2A6921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第3.1 术语定义</w:t>
            </w:r>
          </w:p>
        </w:tc>
        <w:tc>
          <w:tcPr>
            <w:tcW w:w="4231" w:type="dxa"/>
            <w:noWrap w:val="0"/>
            <w:vAlign w:val="center"/>
          </w:tcPr>
          <w:p w14:paraId="25C984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3.1术语定义 在文本中未涉及，删除。</w:t>
            </w:r>
          </w:p>
        </w:tc>
        <w:tc>
          <w:tcPr>
            <w:tcW w:w="2596" w:type="dxa"/>
            <w:noWrap w:val="0"/>
            <w:vAlign w:val="center"/>
          </w:tcPr>
          <w:p w14:paraId="2405EB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5000C0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6AEFA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全部采纳，但未删除，而是在5.4增加专用缓释型配方肥的具体要求。</w:t>
            </w:r>
          </w:p>
        </w:tc>
      </w:tr>
      <w:tr w14:paraId="37C4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192E05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4022" w:type="dxa"/>
            <w:noWrap w:val="0"/>
            <w:vAlign w:val="center"/>
          </w:tcPr>
          <w:p w14:paraId="627C9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第4.1 整地、播种</w:t>
            </w:r>
          </w:p>
        </w:tc>
        <w:tc>
          <w:tcPr>
            <w:tcW w:w="4231" w:type="dxa"/>
            <w:noWrap w:val="0"/>
            <w:vAlign w:val="center"/>
          </w:tcPr>
          <w:p w14:paraId="78172E41"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0" w:leftChars="0" w:hanging="10" w:hangingChars="5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4.1 整地、播种 对“播种”表述是否可修改为：4.1 ........。适宜播种期一般为4月中下旬，具体按NY/T 2632的规定执行。如果玉米播深5 cm～6 cm，大豆播深3 cm～5 cm与NY/T 2632标准不一致，可另加说明。4.2同4.1。</w:t>
            </w:r>
          </w:p>
        </w:tc>
        <w:tc>
          <w:tcPr>
            <w:tcW w:w="2596" w:type="dxa"/>
            <w:noWrap w:val="0"/>
            <w:vAlign w:val="center"/>
          </w:tcPr>
          <w:p w14:paraId="226F2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7552F8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4A014F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部分采纳：NY/T 2632未提及播深，此播深按照宁夏本地土壤墒情确定。</w:t>
            </w:r>
          </w:p>
        </w:tc>
      </w:tr>
      <w:tr w14:paraId="1B2C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2040BF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022" w:type="dxa"/>
            <w:noWrap w:val="0"/>
            <w:vAlign w:val="center"/>
          </w:tcPr>
          <w:p w14:paraId="03F2C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  <w:tc>
          <w:tcPr>
            <w:tcW w:w="4231" w:type="dxa"/>
            <w:noWrap w:val="0"/>
            <w:vAlign w:val="center"/>
          </w:tcPr>
          <w:p w14:paraId="2DBE3F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bookmarkStart w:id="0" w:name="_Toc26718931"/>
            <w:bookmarkStart w:id="1" w:name="_Toc26986772"/>
            <w:bookmarkStart w:id="2" w:name="_Toc26986531"/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规范性引用文件</w:t>
            </w:r>
            <w:bookmarkEnd w:id="0"/>
            <w:bookmarkEnd w:id="1"/>
            <w:bookmarkEnd w:id="2"/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中HG/T 4215 控释肥料标准文本中未引用。</w:t>
            </w:r>
          </w:p>
        </w:tc>
        <w:tc>
          <w:tcPr>
            <w:tcW w:w="2596" w:type="dxa"/>
            <w:noWrap w:val="0"/>
            <w:vAlign w:val="center"/>
          </w:tcPr>
          <w:p w14:paraId="321CB8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宁夏农林科学院</w:t>
            </w:r>
          </w:p>
          <w:p w14:paraId="339389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321964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全部采纳</w:t>
            </w:r>
          </w:p>
        </w:tc>
      </w:tr>
      <w:tr w14:paraId="268B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1E271E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4022" w:type="dxa"/>
            <w:noWrap w:val="0"/>
            <w:vAlign w:val="center"/>
          </w:tcPr>
          <w:p w14:paraId="4C24D4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231" w:type="dxa"/>
            <w:noWrap w:val="0"/>
            <w:vAlign w:val="center"/>
          </w:tcPr>
          <w:p w14:paraId="33E587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建议表1、表2单位放在表格的表头中，两个单位并列表示不清晰。</w:t>
            </w:r>
          </w:p>
        </w:tc>
        <w:tc>
          <w:tcPr>
            <w:tcW w:w="2596" w:type="dxa"/>
            <w:noWrap w:val="0"/>
            <w:vAlign w:val="center"/>
          </w:tcPr>
          <w:p w14:paraId="7B87C9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78C047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3D81FD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全部采纳，对单位用“、”进行隔开。</w:t>
            </w:r>
          </w:p>
        </w:tc>
      </w:tr>
      <w:tr w14:paraId="78F4D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15794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022" w:type="dxa"/>
            <w:noWrap w:val="0"/>
            <w:vAlign w:val="center"/>
          </w:tcPr>
          <w:p w14:paraId="37970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第5.4.1.2 肥料与种子保持5 cm～8 cm的安全距离</w:t>
            </w:r>
          </w:p>
          <w:p w14:paraId="68A037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第5.4.2.2 种子与肥料间隔5 cm～8 cm的距离</w:t>
            </w:r>
          </w:p>
        </w:tc>
        <w:tc>
          <w:tcPr>
            <w:tcW w:w="4231" w:type="dxa"/>
            <w:noWrap w:val="0"/>
            <w:vAlign w:val="center"/>
          </w:tcPr>
          <w:p w14:paraId="44D1ED8F"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5.4.1.2和5.4.2.2中关于种子与肥料安全间隔表述一致。</w:t>
            </w:r>
          </w:p>
        </w:tc>
        <w:tc>
          <w:tcPr>
            <w:tcW w:w="2596" w:type="dxa"/>
            <w:noWrap w:val="0"/>
            <w:vAlign w:val="center"/>
          </w:tcPr>
          <w:p w14:paraId="3B667E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58B74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57CA5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全部采纳。</w:t>
            </w:r>
          </w:p>
        </w:tc>
      </w:tr>
      <w:tr w14:paraId="6B14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04833A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4022" w:type="dxa"/>
            <w:noWrap w:val="0"/>
            <w:vAlign w:val="center"/>
          </w:tcPr>
          <w:p w14:paraId="56B63E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第6章 灌溉 6.1引（扬）黄灌区大豆玉米带状复合种植灌溉参照NY/T 2632执行</w:t>
            </w:r>
          </w:p>
        </w:tc>
        <w:tc>
          <w:tcPr>
            <w:tcW w:w="4231" w:type="dxa"/>
            <w:noWrap w:val="0"/>
            <w:vAlign w:val="center"/>
          </w:tcPr>
          <w:p w14:paraId="6FCD110F"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2" w:leftChars="0" w:hanging="12" w:hangingChars="6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参照NY/T 2632执行是否可满足要求，如果不满足，宁夏地区有特殊性，具体需要怎么做要表述的更清晰一些，不用解释为什么这么做。或有无大豆玉米带状复合种植的地标可直接引用。</w:t>
            </w:r>
          </w:p>
        </w:tc>
        <w:tc>
          <w:tcPr>
            <w:tcW w:w="2596" w:type="dxa"/>
            <w:noWrap w:val="0"/>
            <w:vAlign w:val="center"/>
          </w:tcPr>
          <w:p w14:paraId="59860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397D2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6C28E7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全部采纳，因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NY/T 2632未提及灌溉内容，故删除引用并保留其他灌溉要求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0E51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2D15F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022" w:type="dxa"/>
            <w:noWrap w:val="0"/>
            <w:vAlign w:val="center"/>
          </w:tcPr>
          <w:p w14:paraId="711175E7">
            <w:pPr>
              <w:pStyle w:val="21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12" w:after="312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第7章 病虫草害防治</w:t>
            </w:r>
          </w:p>
          <w:p w14:paraId="044738F6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病虫草害防治参照NY/T 2632、NY/T 1276执行，药剂使用应符合GB/T 8321的要求。</w:t>
            </w:r>
          </w:p>
        </w:tc>
        <w:tc>
          <w:tcPr>
            <w:tcW w:w="4231" w:type="dxa"/>
            <w:noWrap w:val="0"/>
            <w:vAlign w:val="center"/>
          </w:tcPr>
          <w:p w14:paraId="657EF9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修改为：病虫草害防治方法参照GB/T832（所有部分）、NY/T 2632和NY/T 1276的要求。</w:t>
            </w:r>
          </w:p>
        </w:tc>
        <w:tc>
          <w:tcPr>
            <w:tcW w:w="2596" w:type="dxa"/>
            <w:noWrap w:val="0"/>
            <w:vAlign w:val="center"/>
          </w:tcPr>
          <w:p w14:paraId="0A50D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0E252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0E7DC0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全部采纳。</w:t>
            </w:r>
          </w:p>
        </w:tc>
      </w:tr>
      <w:tr w14:paraId="00D5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023C96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4022" w:type="dxa"/>
            <w:noWrap w:val="0"/>
            <w:vAlign w:val="center"/>
          </w:tcPr>
          <w:p w14:paraId="77C2B6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第8章 适时收获</w:t>
            </w:r>
          </w:p>
        </w:tc>
        <w:tc>
          <w:tcPr>
            <w:tcW w:w="4231" w:type="dxa"/>
            <w:noWrap w:val="0"/>
            <w:vAlign w:val="center"/>
          </w:tcPr>
          <w:p w14:paraId="48F23114">
            <w:pPr>
              <w:pStyle w:val="1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8章标题删除“适时”修改为：收获。</w:t>
            </w:r>
          </w:p>
        </w:tc>
        <w:tc>
          <w:tcPr>
            <w:tcW w:w="2596" w:type="dxa"/>
            <w:noWrap w:val="0"/>
            <w:vAlign w:val="center"/>
          </w:tcPr>
          <w:p w14:paraId="27D89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2ECA2F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4FB937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全部采纳。</w:t>
            </w:r>
          </w:p>
        </w:tc>
      </w:tr>
      <w:tr w14:paraId="7D89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47A0A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4022" w:type="dxa"/>
            <w:noWrap w:val="0"/>
            <w:vAlign w:val="center"/>
          </w:tcPr>
          <w:p w14:paraId="7AD32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231" w:type="dxa"/>
            <w:noWrap w:val="0"/>
            <w:vAlign w:val="center"/>
          </w:tcPr>
          <w:p w14:paraId="0B536977">
            <w:pPr>
              <w:pStyle w:val="1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建议增加一章，9 生产档案记载</w:t>
            </w:r>
          </w:p>
        </w:tc>
        <w:tc>
          <w:tcPr>
            <w:tcW w:w="2596" w:type="dxa"/>
            <w:noWrap w:val="0"/>
            <w:vAlign w:val="center"/>
          </w:tcPr>
          <w:p w14:paraId="1ACF3D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宁夏农林科学院</w:t>
            </w:r>
          </w:p>
          <w:p w14:paraId="6E7984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6D98DC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全部采纳。</w:t>
            </w:r>
          </w:p>
        </w:tc>
      </w:tr>
    </w:tbl>
    <w:p w14:paraId="2D83F2C9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35D4F138"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1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0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F61F8"/>
    <w:rsid w:val="0AC92FC0"/>
    <w:rsid w:val="0B0F78AE"/>
    <w:rsid w:val="29F59B69"/>
    <w:rsid w:val="3D7C81B7"/>
    <w:rsid w:val="57BF61F8"/>
    <w:rsid w:val="69BF2D47"/>
    <w:rsid w:val="6B1A52E7"/>
    <w:rsid w:val="6CF7D19C"/>
    <w:rsid w:val="75CDFC73"/>
    <w:rsid w:val="766BA52B"/>
    <w:rsid w:val="77E32AF4"/>
    <w:rsid w:val="7DFFBFCE"/>
    <w:rsid w:val="7F5B3AB5"/>
    <w:rsid w:val="9ABE7E36"/>
    <w:rsid w:val="9B8DE47A"/>
    <w:rsid w:val="BDA31283"/>
    <w:rsid w:val="C39F237D"/>
    <w:rsid w:val="CDB7C3C0"/>
    <w:rsid w:val="E1D67B48"/>
    <w:rsid w:val="EFD1BCA5"/>
    <w:rsid w:val="FBDE2D4C"/>
    <w:rsid w:val="FBFC7803"/>
    <w:rsid w:val="FF7ED4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表头"/>
    <w:basedOn w:val="1"/>
    <w:link w:val="7"/>
    <w:qFormat/>
    <w:uiPriority w:val="0"/>
    <w:pPr>
      <w:spacing w:line="300" w:lineRule="exact"/>
      <w:jc w:val="center"/>
    </w:pPr>
    <w:rPr>
      <w:rFonts w:hint="eastAsia" w:ascii="宋体" w:hAnsi="宋体" w:eastAsia="宋体" w:cs="宋体"/>
      <w:b/>
      <w:bCs/>
      <w:color w:val="auto"/>
      <w:sz w:val="28"/>
      <w:szCs w:val="28"/>
    </w:rPr>
  </w:style>
  <w:style w:type="character" w:customStyle="1" w:styleId="7">
    <w:name w:val="表头 Char"/>
    <w:link w:val="6"/>
    <w:qFormat/>
    <w:uiPriority w:val="0"/>
    <w:rPr>
      <w:rFonts w:hint="eastAsia" w:ascii="宋体" w:hAnsi="宋体" w:eastAsia="宋体" w:cs="宋体"/>
      <w:b/>
      <w:bCs/>
      <w:color w:val="auto"/>
      <w:sz w:val="28"/>
      <w:szCs w:val="28"/>
    </w:rPr>
  </w:style>
  <w:style w:type="paragraph" w:customStyle="1" w:styleId="8">
    <w:name w:val="表注"/>
    <w:basedOn w:val="1"/>
    <w:next w:val="1"/>
    <w:link w:val="9"/>
    <w:qFormat/>
    <w:uiPriority w:val="0"/>
    <w:pPr>
      <w:spacing w:line="240" w:lineRule="exact"/>
      <w:ind w:firstLine="420" w:firstLineChars="200"/>
    </w:pPr>
    <w:rPr>
      <w:rFonts w:hint="eastAsia" w:ascii="宋体" w:hAnsi="宋体" w:eastAsia="宋体" w:cs="宋体"/>
      <w:color w:val="auto"/>
      <w:kern w:val="0"/>
      <w:szCs w:val="21"/>
    </w:rPr>
  </w:style>
  <w:style w:type="character" w:customStyle="1" w:styleId="9">
    <w:name w:val="表注 Char"/>
    <w:link w:val="8"/>
    <w:qFormat/>
    <w:uiPriority w:val="0"/>
    <w:rPr>
      <w:rFonts w:hint="eastAsia" w:ascii="宋体" w:hAnsi="宋体" w:eastAsia="宋体" w:cs="宋体"/>
      <w:color w:val="auto"/>
      <w:kern w:val="0"/>
      <w:szCs w:val="21"/>
    </w:rPr>
  </w:style>
  <w:style w:type="paragraph" w:customStyle="1" w:styleId="10">
    <w:name w:val="试验标题三"/>
    <w:basedOn w:val="1"/>
    <w:next w:val="1"/>
    <w:link w:val="11"/>
    <w:qFormat/>
    <w:uiPriority w:val="0"/>
    <w:pPr>
      <w:spacing w:line="560" w:lineRule="exact"/>
      <w:ind w:leftChars="0" w:firstLine="420" w:firstLineChars="200"/>
    </w:pPr>
    <w:rPr>
      <w:rFonts w:hint="eastAsia" w:ascii="仿宋_GB2312" w:hAnsi="仿宋_GB2312" w:eastAsia="仿宋_GB2312" w:cs="宋体"/>
      <w:b/>
      <w:bCs/>
      <w:color w:val="auto"/>
      <w:sz w:val="32"/>
      <w:szCs w:val="32"/>
      <w:lang w:val="zh-CN"/>
    </w:rPr>
  </w:style>
  <w:style w:type="character" w:customStyle="1" w:styleId="11">
    <w:name w:val="标题三 Char"/>
    <w:link w:val="10"/>
    <w:qFormat/>
    <w:uiPriority w:val="0"/>
    <w:rPr>
      <w:rFonts w:hint="eastAsia" w:ascii="仿宋_GB2312" w:hAnsi="仿宋_GB2312" w:eastAsia="仿宋_GB2312" w:cs="宋体"/>
      <w:b/>
      <w:bCs/>
      <w:color w:val="auto"/>
      <w:sz w:val="32"/>
      <w:szCs w:val="32"/>
      <w:lang w:val="zh-CN"/>
    </w:rPr>
  </w:style>
  <w:style w:type="paragraph" w:customStyle="1" w:styleId="12">
    <w:name w:val="表格正文"/>
    <w:basedOn w:val="1"/>
    <w:qFormat/>
    <w:uiPriority w:val="0"/>
    <w:pPr>
      <w:suppressAutoHyphens/>
      <w:bidi w:val="0"/>
      <w:spacing w:line="240" w:lineRule="exact"/>
      <w:jc w:val="center"/>
    </w:pPr>
    <w:rPr>
      <w:rFonts w:ascii="Times New Roman" w:hAnsi="Times New Roman" w:eastAsia="仿宋" w:cs="Times New Roman"/>
      <w:sz w:val="22"/>
      <w:szCs w:val="28"/>
    </w:rPr>
  </w:style>
  <w:style w:type="paragraph" w:customStyle="1" w:styleId="13">
    <w:name w:val="试验完成单位"/>
    <w:basedOn w:val="1"/>
    <w:next w:val="1"/>
    <w:link w:val="14"/>
    <w:qFormat/>
    <w:uiPriority w:val="0"/>
    <w:pPr>
      <w:spacing w:line="560" w:lineRule="exact"/>
      <w:ind w:firstLine="0" w:firstLineChars="0"/>
      <w:jc w:val="center"/>
      <w:outlineLvl w:val="0"/>
    </w:pPr>
    <w:rPr>
      <w:rFonts w:hint="eastAsia" w:ascii="方正仿宋_GBK" w:hAnsi="方正仿宋_GBK" w:eastAsia="仿宋_GB2312" w:cs="方正仿宋_GBK"/>
      <w:b/>
      <w:bCs/>
      <w:color w:val="auto"/>
      <w:w w:val="98"/>
      <w:sz w:val="28"/>
      <w:szCs w:val="28"/>
    </w:rPr>
  </w:style>
  <w:style w:type="character" w:customStyle="1" w:styleId="14">
    <w:name w:val="试验完成单位 Char"/>
    <w:link w:val="13"/>
    <w:qFormat/>
    <w:uiPriority w:val="0"/>
    <w:rPr>
      <w:rFonts w:hint="eastAsia" w:ascii="方正仿宋_GBK" w:hAnsi="方正仿宋_GBK" w:eastAsia="仿宋_GB2312" w:cs="方正仿宋_GBK"/>
      <w:b/>
      <w:bCs/>
      <w:color w:val="auto"/>
      <w:w w:val="98"/>
      <w:sz w:val="28"/>
      <w:szCs w:val="28"/>
    </w:rPr>
  </w:style>
  <w:style w:type="paragraph" w:customStyle="1" w:styleId="15">
    <w:name w:val="试验正文"/>
    <w:basedOn w:val="1"/>
    <w:link w:val="16"/>
    <w:qFormat/>
    <w:uiPriority w:val="0"/>
    <w:pPr>
      <w:widowControl/>
      <w:spacing w:line="600" w:lineRule="exact"/>
      <w:ind w:firstLine="640" w:firstLineChars="200"/>
    </w:pPr>
    <w:rPr>
      <w:rFonts w:hint="eastAsia" w:ascii="仿宋_GB2312" w:hAnsi="仿宋_GB2312" w:eastAsia="仿宋_GB2312" w:cs="仿宋_GB2312"/>
      <w:color w:val="auto"/>
      <w:sz w:val="32"/>
      <w:szCs w:val="32"/>
    </w:rPr>
  </w:style>
  <w:style w:type="character" w:customStyle="1" w:styleId="16">
    <w:name w:val="试验正文 Char"/>
    <w:link w:val="15"/>
    <w:qFormat/>
    <w:uiPriority w:val="0"/>
    <w:rPr>
      <w:rFonts w:hint="eastAsia" w:ascii="仿宋_GB2312" w:hAnsi="仿宋_GB2312" w:eastAsia="仿宋_GB2312" w:cs="仿宋_GB2312"/>
      <w:color w:val="auto"/>
      <w:sz w:val="32"/>
      <w:szCs w:val="32"/>
    </w:rPr>
  </w:style>
  <w:style w:type="paragraph" w:customStyle="1" w:styleId="1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Table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4"/>
      <w:szCs w:val="24"/>
      <w:lang w:val="en-US" w:eastAsia="en-US" w:bidi="ar-SA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标准文件_一级条标题"/>
    <w:basedOn w:val="21"/>
    <w:next w:val="22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21">
    <w:name w:val="标准文件_章标题"/>
    <w:next w:val="22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1994</Words>
  <Characters>2274</Characters>
  <Lines>0</Lines>
  <Paragraphs>0</Paragraphs>
  <TotalTime>1</TotalTime>
  <ScaleCrop>false</ScaleCrop>
  <LinksUpToDate>false</LinksUpToDate>
  <CharactersWithSpaces>2331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2026-01-13T03:39:00Z</dcterms:created>
  <dc:creator>走走——婷婷(๑• . •๑)享受生活</dc:creator>
  <cp:lastModifiedBy>走走——婷婷(๑• . •๑)享受生活</cp:lastModifiedBy>
  <dcterms:modified xsi:type="dcterms:W3CDTF">2026-01-15T21:27:19Z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2BA5A0D5B55445A6BC1A422BB6CC6FBA_13</vt:lpwstr>
  </property>
  <property fmtid="{D5CDD505-2E9C-101B-9397-08002B2CF9AE}" pid="4" name="KSOTemplateDocerSaveRecord">
    <vt:lpwstr>eyJoZGlkIjoiMTAyNjVmZWNmMmI5OGU5NDZmZjdlMGU2NGY3MTNiYzMiLCJ1c2VySWQiOiI1ODY5ODAxMTQifQ==</vt:lpwstr>
  </property>
</Properties>
</file>