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1F762">
      <w:pPr>
        <w:widowControl/>
        <w:jc w:val="center"/>
        <w:rPr>
          <w:rFonts w:hint="eastAsia" w:ascii="方正小标宋_GBK" w:hAnsi="方正小标宋_GBK" w:eastAsia="方正小标宋_GBK" w:cs="方正小标宋_GBK"/>
          <w:color w:val="000000"/>
          <w:kern w:val="0"/>
          <w:sz w:val="43"/>
          <w:szCs w:val="43"/>
          <w:lang w:eastAsia="zh-CN" w:bidi="ar"/>
        </w:rPr>
      </w:pPr>
    </w:p>
    <w:p w14:paraId="3290668A">
      <w:pPr>
        <w:widowControl/>
        <w:jc w:val="center"/>
        <w:rPr>
          <w:rFonts w:hint="eastAsia" w:ascii="方正小标宋_GBK" w:hAnsi="方正小标宋_GBK" w:eastAsia="方正小标宋_GBK" w:cs="方正小标宋_GBK"/>
          <w:color w:val="000000"/>
          <w:kern w:val="0"/>
          <w:sz w:val="43"/>
          <w:szCs w:val="43"/>
          <w:lang w:eastAsia="zh-CN" w:bidi="ar"/>
        </w:rPr>
      </w:pPr>
    </w:p>
    <w:p w14:paraId="06740900">
      <w:pPr>
        <w:widowControl/>
        <w:jc w:val="center"/>
        <w:rPr>
          <w:rFonts w:hint="eastAsia" w:ascii="方正小标宋_GBK" w:hAnsi="方正小标宋_GBK" w:eastAsia="方正小标宋_GBK" w:cs="方正小标宋_GBK"/>
          <w:color w:val="000000"/>
          <w:kern w:val="0"/>
          <w:sz w:val="43"/>
          <w:szCs w:val="43"/>
          <w:lang w:eastAsia="zh-CN" w:bidi="ar"/>
        </w:rPr>
      </w:pPr>
    </w:p>
    <w:p w14:paraId="7A60ED9D">
      <w:pPr>
        <w:widowControl/>
        <w:jc w:val="center"/>
        <w:rPr>
          <w:rFonts w:hint="eastAsia" w:ascii="方正小标宋_GBK" w:hAnsi="方正小标宋_GBK" w:eastAsia="方正小标宋_GBK" w:cs="方正小标宋_GBK"/>
          <w:color w:val="000000"/>
          <w:kern w:val="0"/>
          <w:sz w:val="52"/>
          <w:szCs w:val="52"/>
          <w:lang w:eastAsia="zh-CN" w:bidi="ar"/>
        </w:rPr>
      </w:pPr>
      <w:bookmarkStart w:id="0" w:name="_GoBack"/>
      <w:r>
        <w:rPr>
          <w:rFonts w:hint="eastAsia" w:ascii="方正小标宋_GBK" w:hAnsi="方正小标宋_GBK" w:eastAsia="方正小标宋_GBK" w:cs="方正小标宋_GBK"/>
          <w:color w:val="000000"/>
          <w:kern w:val="0"/>
          <w:sz w:val="52"/>
          <w:szCs w:val="52"/>
          <w:lang w:eastAsia="zh-CN" w:bidi="ar"/>
        </w:rPr>
        <w:t>《粮油作物一次性施肥技术规程</w:t>
      </w:r>
      <w:r>
        <w:rPr>
          <w:rFonts w:hint="eastAsia" w:ascii="方正小标宋_GBK" w:hAnsi="方正小标宋_GBK" w:eastAsia="方正小标宋_GBK" w:cs="方正小标宋_GBK"/>
          <w:color w:val="000000"/>
          <w:kern w:val="0"/>
          <w:sz w:val="52"/>
          <w:szCs w:val="52"/>
          <w:lang w:val="en-US" w:eastAsia="zh-CN" w:bidi="ar"/>
        </w:rPr>
        <w:t xml:space="preserve"> 第3部分：</w:t>
      </w:r>
      <w:r>
        <w:rPr>
          <w:rFonts w:hint="eastAsia" w:ascii="方正小标宋_GBK" w:hAnsi="方正小标宋_GBK" w:eastAsia="方正小标宋_GBK" w:cs="方正小标宋_GBK"/>
          <w:color w:val="000000"/>
          <w:kern w:val="0"/>
          <w:sz w:val="52"/>
          <w:szCs w:val="52"/>
          <w:lang w:eastAsia="zh-CN" w:bidi="ar"/>
        </w:rPr>
        <w:t>大豆玉米带状复合种植》</w:t>
      </w:r>
    </w:p>
    <w:p w14:paraId="0DC3E02B">
      <w:pPr>
        <w:widowControl/>
        <w:jc w:val="center"/>
        <w:rPr>
          <w:rFonts w:hint="eastAsia" w:ascii="方正小标宋_GBK" w:hAnsi="方正小标宋_GBK" w:eastAsia="方正小标宋_GBK" w:cs="方正小标宋_GBK"/>
          <w:color w:val="000000"/>
          <w:kern w:val="0"/>
          <w:sz w:val="52"/>
          <w:szCs w:val="52"/>
          <w:lang w:bidi="ar"/>
        </w:rPr>
      </w:pPr>
      <w:r>
        <w:rPr>
          <w:rFonts w:hint="eastAsia" w:ascii="方正小标宋_GBK" w:hAnsi="方正小标宋_GBK" w:eastAsia="方正小标宋_GBK" w:cs="方正小标宋_GBK"/>
          <w:color w:val="000000"/>
          <w:kern w:val="0"/>
          <w:sz w:val="52"/>
          <w:szCs w:val="52"/>
          <w:lang w:eastAsia="zh-CN" w:bidi="ar"/>
        </w:rPr>
        <w:t>地方标准编制</w:t>
      </w:r>
      <w:r>
        <w:rPr>
          <w:rFonts w:hint="eastAsia" w:ascii="方正小标宋_GBK" w:hAnsi="方正小标宋_GBK" w:eastAsia="方正小标宋_GBK" w:cs="方正小标宋_GBK"/>
          <w:color w:val="000000"/>
          <w:kern w:val="0"/>
          <w:sz w:val="52"/>
          <w:szCs w:val="52"/>
          <w:lang w:bidi="ar"/>
        </w:rPr>
        <w:t>说明</w:t>
      </w:r>
    </w:p>
    <w:bookmarkEnd w:id="0"/>
    <w:p w14:paraId="2C44D6CF">
      <w:pPr>
        <w:widowControl/>
        <w:jc w:val="center"/>
        <w:rPr>
          <w:rFonts w:hint="eastAsia" w:ascii="方正小标宋_GBK" w:hAnsi="方正小标宋_GBK" w:eastAsia="方正小标宋_GBK" w:cs="方正小标宋_GBK"/>
          <w:color w:val="000000"/>
          <w:kern w:val="0"/>
          <w:sz w:val="43"/>
          <w:szCs w:val="43"/>
          <w:lang w:bidi="ar"/>
        </w:rPr>
      </w:pPr>
    </w:p>
    <w:p w14:paraId="04DC80DE">
      <w:pPr>
        <w:widowControl/>
        <w:jc w:val="center"/>
        <w:rPr>
          <w:rFonts w:hint="eastAsia" w:ascii="方正小标宋_GBK" w:hAnsi="方正小标宋_GBK" w:eastAsia="方正小标宋_GBK" w:cs="方正小标宋_GBK"/>
          <w:color w:val="000000"/>
          <w:kern w:val="0"/>
          <w:sz w:val="43"/>
          <w:szCs w:val="43"/>
          <w:lang w:bidi="ar"/>
        </w:rPr>
      </w:pPr>
    </w:p>
    <w:p w14:paraId="69D107D4">
      <w:pPr>
        <w:widowControl/>
        <w:jc w:val="center"/>
        <w:rPr>
          <w:rFonts w:hint="eastAsia" w:ascii="方正小标宋_GBK" w:hAnsi="方正小标宋_GBK" w:eastAsia="方正小标宋_GBK" w:cs="方正小标宋_GBK"/>
          <w:color w:val="000000"/>
          <w:kern w:val="0"/>
          <w:sz w:val="43"/>
          <w:szCs w:val="43"/>
          <w:lang w:bidi="ar"/>
        </w:rPr>
      </w:pPr>
    </w:p>
    <w:p w14:paraId="7BC781A1">
      <w:pPr>
        <w:widowControl/>
        <w:jc w:val="center"/>
        <w:rPr>
          <w:rFonts w:hint="eastAsia" w:ascii="方正小标宋_GBK" w:hAnsi="方正小标宋_GBK" w:eastAsia="方正小标宋_GBK" w:cs="方正小标宋_GBK"/>
          <w:color w:val="000000"/>
          <w:kern w:val="0"/>
          <w:sz w:val="43"/>
          <w:szCs w:val="43"/>
          <w:lang w:bidi="ar"/>
        </w:rPr>
      </w:pPr>
    </w:p>
    <w:p w14:paraId="758F087F">
      <w:pPr>
        <w:widowControl/>
        <w:jc w:val="center"/>
        <w:rPr>
          <w:rFonts w:hint="eastAsia" w:ascii="方正小标宋_GBK" w:hAnsi="方正小标宋_GBK" w:eastAsia="方正小标宋_GBK" w:cs="方正小标宋_GBK"/>
          <w:color w:val="000000"/>
          <w:kern w:val="0"/>
          <w:sz w:val="43"/>
          <w:szCs w:val="43"/>
          <w:lang w:bidi="ar"/>
        </w:rPr>
      </w:pPr>
    </w:p>
    <w:p w14:paraId="41A11FED">
      <w:pPr>
        <w:widowControl/>
        <w:jc w:val="center"/>
        <w:rPr>
          <w:rFonts w:hint="eastAsia" w:ascii="方正小标宋_GBK" w:hAnsi="方正小标宋_GBK" w:eastAsia="方正小标宋_GBK" w:cs="方正小标宋_GBK"/>
          <w:color w:val="000000"/>
          <w:kern w:val="0"/>
          <w:sz w:val="43"/>
          <w:szCs w:val="43"/>
          <w:lang w:bidi="ar"/>
        </w:rPr>
      </w:pPr>
    </w:p>
    <w:p w14:paraId="534B6F47">
      <w:pPr>
        <w:widowControl/>
        <w:jc w:val="both"/>
        <w:rPr>
          <w:rFonts w:hint="eastAsia" w:ascii="方正小标宋_GBK" w:hAnsi="方正小标宋_GBK" w:eastAsia="方正小标宋_GBK" w:cs="方正小标宋_GBK"/>
          <w:color w:val="000000"/>
          <w:kern w:val="0"/>
          <w:sz w:val="43"/>
          <w:szCs w:val="43"/>
          <w:lang w:bidi="ar"/>
        </w:rPr>
      </w:pPr>
    </w:p>
    <w:p w14:paraId="318D7BF7">
      <w:pPr>
        <w:widowControl/>
        <w:jc w:val="center"/>
        <w:rPr>
          <w:rFonts w:hint="eastAsia" w:ascii="方正小标宋_GBK" w:hAnsi="方正小标宋_GBK" w:eastAsia="方正小标宋_GBK" w:cs="方正小标宋_GBK"/>
          <w:color w:val="000000"/>
          <w:kern w:val="0"/>
          <w:sz w:val="43"/>
          <w:szCs w:val="43"/>
          <w:lang w:bidi="ar"/>
        </w:rPr>
      </w:pPr>
      <w:r>
        <w:rPr>
          <w:rFonts w:hint="eastAsia" w:ascii="方正小标宋_GBK" w:hAnsi="方正小标宋_GBK" w:eastAsia="方正小标宋_GBK" w:cs="方正小标宋_GBK"/>
          <w:color w:val="000000"/>
          <w:kern w:val="0"/>
          <w:sz w:val="43"/>
          <w:szCs w:val="43"/>
          <w:lang w:bidi="ar"/>
        </w:rPr>
        <w:t>202</w:t>
      </w:r>
      <w:r>
        <w:rPr>
          <w:rFonts w:hint="eastAsia" w:ascii="方正小标宋_GBK" w:hAnsi="方正小标宋_GBK" w:eastAsia="方正小标宋_GBK" w:cs="方正小标宋_GBK"/>
          <w:color w:val="000000"/>
          <w:kern w:val="0"/>
          <w:sz w:val="43"/>
          <w:szCs w:val="43"/>
          <w:lang w:val="en-US" w:eastAsia="zh-CN" w:bidi="ar"/>
        </w:rPr>
        <w:t>6</w:t>
      </w:r>
      <w:r>
        <w:rPr>
          <w:rFonts w:hint="eastAsia" w:ascii="方正小标宋_GBK" w:hAnsi="方正小标宋_GBK" w:eastAsia="方正小标宋_GBK" w:cs="方正小标宋_GBK"/>
          <w:color w:val="000000"/>
          <w:kern w:val="0"/>
          <w:sz w:val="43"/>
          <w:szCs w:val="43"/>
          <w:lang w:bidi="ar"/>
        </w:rPr>
        <w:t>年</w:t>
      </w:r>
      <w:r>
        <w:rPr>
          <w:rFonts w:hint="eastAsia" w:ascii="方正小标宋_GBK" w:hAnsi="方正小标宋_GBK" w:eastAsia="方正小标宋_GBK" w:cs="方正小标宋_GBK"/>
          <w:color w:val="000000"/>
          <w:kern w:val="0"/>
          <w:sz w:val="43"/>
          <w:szCs w:val="43"/>
          <w:lang w:val="en-US" w:eastAsia="zh-CN" w:bidi="ar"/>
        </w:rPr>
        <w:t>1</w:t>
      </w:r>
      <w:r>
        <w:rPr>
          <w:rFonts w:hint="eastAsia" w:ascii="方正小标宋_GBK" w:hAnsi="方正小标宋_GBK" w:eastAsia="方正小标宋_GBK" w:cs="方正小标宋_GBK"/>
          <w:color w:val="000000"/>
          <w:kern w:val="0"/>
          <w:sz w:val="43"/>
          <w:szCs w:val="43"/>
          <w:lang w:bidi="ar"/>
        </w:rPr>
        <w:t>月</w:t>
      </w:r>
    </w:p>
    <w:p w14:paraId="2BF38D60">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宋体" w:hAnsi="宋体" w:eastAsia="宋体" w:cs="宋体"/>
          <w:b/>
          <w:bCs/>
          <w:color w:val="000000"/>
          <w:kern w:val="0"/>
          <w:sz w:val="43"/>
          <w:szCs w:val="43"/>
          <w:lang w:bidi="ar"/>
        </w:rPr>
      </w:pPr>
    </w:p>
    <w:p w14:paraId="68CAE197">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color w:val="000000"/>
          <w:kern w:val="0"/>
          <w:sz w:val="44"/>
          <w:szCs w:val="44"/>
          <w:lang w:bidi="ar"/>
        </w:rPr>
        <w:t>目</w:t>
      </w:r>
      <w:r>
        <w:rPr>
          <w:rFonts w:hint="eastAsia" w:ascii="方正小标宋_GBK" w:hAnsi="方正小标宋_GBK" w:eastAsia="方正小标宋_GBK" w:cs="方正小标宋_GBK"/>
          <w:b w:val="0"/>
          <w:bCs w:val="0"/>
          <w:color w:val="000000"/>
          <w:kern w:val="0"/>
          <w:sz w:val="44"/>
          <w:szCs w:val="44"/>
          <w:lang w:val="en-US" w:eastAsia="zh-CN" w:bidi="ar"/>
        </w:rPr>
        <w:t xml:space="preserve"> </w:t>
      </w:r>
      <w:r>
        <w:rPr>
          <w:rFonts w:hint="eastAsia" w:ascii="方正小标宋_GBK" w:hAnsi="方正小标宋_GBK" w:eastAsia="方正小标宋_GBK" w:cs="方正小标宋_GBK"/>
          <w:b w:val="0"/>
          <w:bCs w:val="0"/>
          <w:color w:val="000000"/>
          <w:kern w:val="0"/>
          <w:sz w:val="44"/>
          <w:szCs w:val="44"/>
          <w:lang w:bidi="ar"/>
        </w:rPr>
        <w:t xml:space="preserve"> 次</w:t>
      </w:r>
    </w:p>
    <w:p w14:paraId="789E2D78">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宋体" w:hAnsi="宋体" w:eastAsia="宋体" w:cs="宋体"/>
          <w:color w:val="000000"/>
          <w:kern w:val="0"/>
          <w:sz w:val="31"/>
          <w:szCs w:val="31"/>
          <w:lang w:bidi="ar"/>
        </w:rPr>
      </w:pPr>
    </w:p>
    <w:p w14:paraId="541AC6C4">
      <w:pPr>
        <w:keepNext w:val="0"/>
        <w:keepLines w:val="0"/>
        <w:pageBreakBefore w:val="0"/>
        <w:widowControl/>
        <w:numPr>
          <w:ilvl w:val="0"/>
          <w:numId w:val="1"/>
        </w:numPr>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000000"/>
          <w:kern w:val="0"/>
          <w:sz w:val="32"/>
          <w:szCs w:val="32"/>
          <w:lang w:eastAsia="zh-CN" w:bidi="ar"/>
        </w:rPr>
      </w:pPr>
      <w:r>
        <w:rPr>
          <w:rFonts w:hint="eastAsia" w:ascii="仿宋_GB2312" w:hAnsi="仿宋_GB2312" w:eastAsia="仿宋_GB2312" w:cs="仿宋_GB2312"/>
          <w:color w:val="000000"/>
          <w:kern w:val="0"/>
          <w:sz w:val="32"/>
          <w:szCs w:val="32"/>
          <w:lang w:eastAsia="zh-CN" w:bidi="ar"/>
        </w:rPr>
        <w:t>工作概况</w:t>
      </w:r>
    </w:p>
    <w:p w14:paraId="361628A6">
      <w:pPr>
        <w:keepNext w:val="0"/>
        <w:keepLines w:val="0"/>
        <w:pageBreakBefore w:val="0"/>
        <w:widowControl/>
        <w:numPr>
          <w:ilvl w:val="0"/>
          <w:numId w:val="0"/>
        </w:numPr>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二、制定标准的必要性和意义</w:t>
      </w:r>
    </w:p>
    <w:p w14:paraId="392F9339">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三、主要起草过程</w:t>
      </w:r>
    </w:p>
    <w:p w14:paraId="5DA7581C">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pacing w:val="-11"/>
          <w:sz w:val="32"/>
          <w:szCs w:val="32"/>
        </w:rPr>
      </w:pPr>
      <w:r>
        <w:rPr>
          <w:rFonts w:hint="eastAsia" w:ascii="仿宋_GB2312" w:hAnsi="仿宋_GB2312" w:eastAsia="仿宋_GB2312" w:cs="仿宋_GB2312"/>
          <w:color w:val="000000"/>
          <w:spacing w:val="-11"/>
          <w:kern w:val="0"/>
          <w:sz w:val="32"/>
          <w:szCs w:val="32"/>
          <w:lang w:bidi="ar"/>
        </w:rPr>
        <w:t>四、制定标准的原则和依据，与现行法律、法规、标准的关系</w:t>
      </w:r>
    </w:p>
    <w:p w14:paraId="147CD723">
      <w:pPr>
        <w:widowControl/>
        <w:spacing w:line="600" w:lineRule="exact"/>
        <w:jc w:val="left"/>
        <w:rPr>
          <w:rFonts w:hint="eastAsia" w:ascii="仿宋_GB2312" w:hAnsi="仿宋_GB2312" w:eastAsia="仿宋_GB2312" w:cs="仿宋_GB2312"/>
          <w:color w:val="000000"/>
          <w:spacing w:val="-11"/>
          <w:kern w:val="0"/>
          <w:sz w:val="32"/>
          <w:szCs w:val="32"/>
          <w:lang w:eastAsia="zh-CN" w:bidi="ar"/>
        </w:rPr>
      </w:pPr>
      <w:r>
        <w:rPr>
          <w:rFonts w:hint="eastAsia" w:ascii="仿宋_GB2312" w:hAnsi="仿宋_GB2312" w:eastAsia="仿宋_GB2312" w:cs="仿宋_GB2312"/>
          <w:color w:val="000000"/>
          <w:spacing w:val="-11"/>
          <w:kern w:val="0"/>
          <w:sz w:val="32"/>
          <w:szCs w:val="32"/>
          <w:lang w:bidi="ar"/>
        </w:rPr>
        <w:t>五、</w:t>
      </w:r>
      <w:r>
        <w:rPr>
          <w:rFonts w:hint="eastAsia" w:ascii="仿宋_GB2312" w:hAnsi="仿宋_GB2312" w:eastAsia="仿宋_GB2312" w:cs="仿宋_GB2312"/>
          <w:snapToGrid w:val="0"/>
          <w:color w:val="000000" w:themeColor="text1"/>
          <w:spacing w:val="-11"/>
          <w:kern w:val="0"/>
          <w:sz w:val="32"/>
          <w:szCs w:val="32"/>
          <w14:textFill>
            <w14:solidFill>
              <w14:schemeClr w14:val="tx1"/>
            </w14:solidFill>
          </w14:textFill>
        </w:rPr>
        <w:t>主要条款的说明，主要技术指标、参数、实验验证的论述</w:t>
      </w:r>
    </w:p>
    <w:p w14:paraId="5CE17EB7">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六、重大意见分歧的处理依据和结果 </w:t>
      </w:r>
    </w:p>
    <w:p w14:paraId="04F649EB">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七、实施标准的措施建议 </w:t>
      </w:r>
    </w:p>
    <w:p w14:paraId="13A054BB">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八、知识产权说明</w:t>
      </w:r>
    </w:p>
    <w:p w14:paraId="2FAE0724">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九、其他应予说明的事项 </w:t>
      </w:r>
    </w:p>
    <w:p w14:paraId="1D6B7B4B">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黑体" w:hAnsi="宋体" w:eastAsia="黑体" w:cs="黑体"/>
          <w:color w:val="000000"/>
          <w:kern w:val="0"/>
          <w:sz w:val="31"/>
          <w:szCs w:val="31"/>
          <w:lang w:bidi="ar"/>
        </w:rPr>
      </w:pPr>
    </w:p>
    <w:p w14:paraId="4E52D47F">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黑体" w:hAnsi="宋体" w:eastAsia="黑体" w:cs="黑体"/>
          <w:color w:val="000000"/>
          <w:kern w:val="0"/>
          <w:sz w:val="31"/>
          <w:szCs w:val="31"/>
          <w:lang w:bidi="ar"/>
        </w:rPr>
      </w:pPr>
    </w:p>
    <w:p w14:paraId="36FFA2DA">
      <w:pPr>
        <w:widowControl/>
        <w:jc w:val="left"/>
        <w:rPr>
          <w:rFonts w:ascii="黑体" w:hAnsi="宋体" w:eastAsia="黑体" w:cs="黑体"/>
          <w:color w:val="000000"/>
          <w:kern w:val="0"/>
          <w:sz w:val="31"/>
          <w:szCs w:val="31"/>
          <w:lang w:bidi="ar"/>
        </w:rPr>
      </w:pPr>
    </w:p>
    <w:p w14:paraId="4BC270A8">
      <w:pPr>
        <w:widowControl/>
        <w:jc w:val="left"/>
        <w:rPr>
          <w:rFonts w:ascii="黑体" w:hAnsi="宋体" w:eastAsia="黑体" w:cs="黑体"/>
          <w:color w:val="000000"/>
          <w:kern w:val="0"/>
          <w:sz w:val="31"/>
          <w:szCs w:val="31"/>
          <w:lang w:bidi="ar"/>
        </w:rPr>
      </w:pPr>
    </w:p>
    <w:p w14:paraId="209ABA9A">
      <w:pPr>
        <w:widowControl/>
        <w:jc w:val="left"/>
        <w:rPr>
          <w:rFonts w:ascii="黑体" w:hAnsi="宋体" w:eastAsia="黑体" w:cs="黑体"/>
          <w:color w:val="000000"/>
          <w:kern w:val="0"/>
          <w:sz w:val="31"/>
          <w:szCs w:val="31"/>
          <w:lang w:bidi="ar"/>
        </w:rPr>
      </w:pPr>
    </w:p>
    <w:p w14:paraId="632F4361">
      <w:pPr>
        <w:widowControl/>
        <w:jc w:val="left"/>
        <w:rPr>
          <w:rFonts w:ascii="黑体" w:hAnsi="宋体" w:eastAsia="黑体" w:cs="黑体"/>
          <w:color w:val="000000"/>
          <w:kern w:val="0"/>
          <w:sz w:val="31"/>
          <w:szCs w:val="31"/>
          <w:lang w:bidi="ar"/>
        </w:rPr>
      </w:pPr>
    </w:p>
    <w:p w14:paraId="5C2A800A">
      <w:pPr>
        <w:widowControl/>
        <w:jc w:val="left"/>
        <w:rPr>
          <w:rFonts w:ascii="黑体" w:hAnsi="宋体" w:eastAsia="黑体" w:cs="黑体"/>
          <w:color w:val="000000"/>
          <w:kern w:val="0"/>
          <w:sz w:val="31"/>
          <w:szCs w:val="31"/>
          <w:lang w:bidi="ar"/>
        </w:rPr>
      </w:pPr>
    </w:p>
    <w:p w14:paraId="6A34488F">
      <w:pPr>
        <w:widowControl/>
        <w:jc w:val="left"/>
        <w:rPr>
          <w:rFonts w:ascii="黑体" w:hAnsi="宋体" w:eastAsia="黑体" w:cs="黑体"/>
          <w:color w:val="000000"/>
          <w:kern w:val="0"/>
          <w:sz w:val="31"/>
          <w:szCs w:val="31"/>
          <w:lang w:bidi="ar"/>
        </w:rPr>
      </w:pPr>
    </w:p>
    <w:p w14:paraId="3F8430D7">
      <w:pPr>
        <w:pStyle w:val="3"/>
      </w:pPr>
    </w:p>
    <w:p w14:paraId="361631C7"/>
    <w:p w14:paraId="3EA08AA1"/>
    <w:p w14:paraId="16B6C96B">
      <w:pPr>
        <w:pStyle w:val="10"/>
        <w:spacing w:line="560" w:lineRule="exact"/>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w:t>
      </w:r>
      <w:r>
        <w:rPr>
          <w:rFonts w:hint="eastAsia" w:ascii="方正小标宋_GBK" w:hAnsi="方正小标宋_GBK" w:eastAsia="方正小标宋_GBK" w:cs="方正小标宋_GBK"/>
          <w:b w:val="0"/>
          <w:bCs w:val="0"/>
          <w:sz w:val="44"/>
          <w:szCs w:val="44"/>
          <w:lang w:eastAsia="zh-CN"/>
        </w:rPr>
        <w:t>粮油作物一次性施肥技术规程</w:t>
      </w:r>
      <w:r>
        <w:rPr>
          <w:rFonts w:hint="eastAsia" w:ascii="方正小标宋_GBK" w:hAnsi="方正小标宋_GBK" w:eastAsia="方正小标宋_GBK" w:cs="方正小标宋_GBK"/>
          <w:b w:val="0"/>
          <w:bCs w:val="0"/>
          <w:sz w:val="44"/>
          <w:szCs w:val="44"/>
          <w:lang w:val="en-US" w:eastAsia="zh-CN"/>
        </w:rPr>
        <w:t xml:space="preserve"> 第3部分：</w:t>
      </w:r>
      <w:r>
        <w:rPr>
          <w:rFonts w:hint="eastAsia" w:ascii="方正小标宋_GBK" w:hAnsi="方正小标宋_GBK" w:eastAsia="方正小标宋_GBK" w:cs="方正小标宋_GBK"/>
          <w:b w:val="0"/>
          <w:bCs w:val="0"/>
          <w:sz w:val="44"/>
          <w:szCs w:val="44"/>
          <w:lang w:eastAsia="zh-CN"/>
        </w:rPr>
        <w:t>大豆玉米带状复合种植</w:t>
      </w:r>
      <w:r>
        <w:rPr>
          <w:rFonts w:hint="eastAsia" w:ascii="方正小标宋_GBK" w:hAnsi="方正小标宋_GBK" w:eastAsia="方正小标宋_GBK" w:cs="方正小标宋_GBK"/>
          <w:b w:val="0"/>
          <w:bCs w:val="0"/>
          <w:sz w:val="44"/>
          <w:szCs w:val="44"/>
        </w:rPr>
        <w:t>》地方标准</w:t>
      </w:r>
    </w:p>
    <w:p w14:paraId="0EC3380B">
      <w:pPr>
        <w:pStyle w:val="10"/>
        <w:spacing w:line="560" w:lineRule="exact"/>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b w:val="0"/>
          <w:bCs w:val="0"/>
          <w:sz w:val="44"/>
          <w:szCs w:val="44"/>
          <w:lang w:eastAsia="zh-CN"/>
        </w:rPr>
        <w:t>编制</w:t>
      </w:r>
      <w:r>
        <w:rPr>
          <w:rFonts w:hint="eastAsia" w:ascii="方正小标宋_GBK" w:hAnsi="方正小标宋_GBK" w:eastAsia="方正小标宋_GBK" w:cs="方正小标宋_GBK"/>
          <w:b w:val="0"/>
          <w:bCs w:val="0"/>
          <w:sz w:val="44"/>
          <w:szCs w:val="44"/>
        </w:rPr>
        <w:t>说明</w:t>
      </w:r>
    </w:p>
    <w:p w14:paraId="414D8F3D">
      <w:pPr>
        <w:spacing w:line="560" w:lineRule="exact"/>
        <w:ind w:firstLine="640" w:firstLineChars="200"/>
        <w:rPr>
          <w:rFonts w:hint="eastAsia" w:ascii="黑体" w:hAnsi="黑体" w:eastAsia="黑体" w:cs="黑体"/>
          <w:sz w:val="32"/>
          <w:szCs w:val="32"/>
        </w:rPr>
      </w:pPr>
    </w:p>
    <w:p w14:paraId="16D4E836">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一、工作简况</w:t>
      </w:r>
    </w:p>
    <w:p w14:paraId="6C83E275">
      <w:pPr>
        <w:spacing w:line="600" w:lineRule="exact"/>
        <w:ind w:firstLine="643" w:firstLineChars="200"/>
        <w:rPr>
          <w:rFonts w:ascii="仿宋_GB2312" w:hAnsi="仿宋_GB2312" w:eastAsia="仿宋_GB2312" w:cs="仿宋_GB2312"/>
          <w:snapToGrid w:val="0"/>
          <w:color w:val="000000" w:themeColor="text1"/>
          <w:kern w:val="0"/>
          <w:sz w:val="32"/>
          <w:szCs w:val="32"/>
          <w14:textFill>
            <w14:solidFill>
              <w14:schemeClr w14:val="tx1"/>
            </w14:solidFill>
          </w14:textFill>
        </w:rPr>
      </w:pPr>
      <w:r>
        <w:rPr>
          <w:rFonts w:hint="eastAsia" w:ascii="楷体" w:hAnsi="楷体" w:eastAsia="楷体" w:cs="楷体"/>
          <w:b/>
          <w:bCs/>
          <w:sz w:val="32"/>
          <w:szCs w:val="32"/>
        </w:rPr>
        <w:t>（一）任务来源</w:t>
      </w:r>
      <w:r>
        <w:rPr>
          <w:rFonts w:hint="eastAsia" w:ascii="楷体" w:hAnsi="楷体" w:eastAsia="楷体" w:cs="楷体"/>
          <w:b/>
          <w:bCs/>
          <w:sz w:val="32"/>
          <w:szCs w:val="32"/>
          <w:lang w:eastAsia="zh-CN"/>
        </w:rPr>
        <w:t>。</w:t>
      </w:r>
      <w:r>
        <w:rPr>
          <w:rFonts w:hint="eastAsia" w:ascii="仿宋_GB2312" w:hAnsi="仿宋_GB2312" w:eastAsia="仿宋_GB2312" w:cs="仿宋_GB2312"/>
          <w:sz w:val="32"/>
          <w:szCs w:val="32"/>
        </w:rPr>
        <w:t>根据宁夏回族自治区</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市场监管厅</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《关于征集 2025 年宁夏地方标准立项建议的</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通知</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及</w:t>
      </w:r>
      <w:r>
        <w:rPr>
          <w:rStyle w:val="14"/>
          <w:rFonts w:hint="eastAsia" w:ascii="仿宋_GB2312" w:hAnsi="仿宋_GB2312" w:eastAsia="仿宋_GB2312" w:cs="仿宋_GB2312"/>
          <w:b w:val="0"/>
          <w:color w:val="000000"/>
          <w:sz w:val="32"/>
          <w:szCs w:val="32"/>
        </w:rPr>
        <w:t>《关于下达 2025 年宁夏地方标准制（修）订计划的通知》</w:t>
      </w:r>
      <w:r>
        <w:rPr>
          <w:rStyle w:val="14"/>
          <w:rFonts w:hint="eastAsia" w:ascii="仿宋_GB2312" w:hAnsi="仿宋_GB2312" w:eastAsia="仿宋_GB2312" w:cs="仿宋_GB2312"/>
          <w:b w:val="0"/>
          <w:color w:val="000000"/>
          <w:sz w:val="32"/>
          <w:szCs w:val="32"/>
          <w:lang w:eastAsia="zh-CN"/>
        </w:rPr>
        <w:t>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粮油作物一次性施肥</w:t>
      </w:r>
      <w:r>
        <w:rPr>
          <w:rFonts w:hint="eastAsia" w:ascii="仿宋_GB2312" w:hAnsi="仿宋_GB2312" w:eastAsia="仿宋_GB2312" w:cs="仿宋_GB2312"/>
          <w:sz w:val="32"/>
          <w:szCs w:val="32"/>
        </w:rPr>
        <w:t>技术规</w:t>
      </w:r>
      <w:r>
        <w:rPr>
          <w:rFonts w:hint="eastAsia" w:ascii="仿宋_GB2312" w:hAnsi="仿宋_GB2312" w:eastAsia="仿宋_GB2312" w:cs="仿宋_GB2312"/>
          <w:sz w:val="32"/>
          <w:szCs w:val="32"/>
          <w:lang w:val="en-US" w:eastAsia="zh-CN"/>
        </w:rPr>
        <w:t xml:space="preserve"> 第三部分：大豆玉米带状复合种植</w:t>
      </w:r>
      <w:r>
        <w:rPr>
          <w:rFonts w:hint="eastAsia" w:ascii="仿宋_GB2312" w:hAnsi="仿宋_GB2312" w:eastAsia="仿宋_GB2312" w:cs="仿宋_GB2312"/>
          <w:sz w:val="32"/>
          <w:szCs w:val="32"/>
        </w:rPr>
        <w:t>》</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被列为</w:t>
      </w:r>
      <w:r>
        <w:rPr>
          <w:rFonts w:ascii="仿宋_GB2312" w:hAnsi="仿宋_GB2312" w:eastAsia="仿宋_GB2312" w:cs="仿宋_GB2312"/>
          <w:snapToGrid w:val="0"/>
          <w:color w:val="000000" w:themeColor="text1"/>
          <w:kern w:val="0"/>
          <w:sz w:val="32"/>
          <w:szCs w:val="32"/>
          <w14:textFill>
            <w14:solidFill>
              <w14:schemeClr w14:val="tx1"/>
            </w14:solidFill>
          </w14:textFill>
        </w:rPr>
        <w:t>202</w:t>
      </w: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5</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年地方标准制（修）订计划。为落实相关工作要求，推进</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粮食安全与</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农业绿色高质量发展</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自治区农业技术推广总站</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基于</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近</w:t>
      </w: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15</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年在不同粮食作物上开展</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一次性施肥</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技术试验示范</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取得的</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成果与实践经验，组织编制本规程。</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本</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标准由宁夏回族自治区农业农村厅提出并归口。</w:t>
      </w:r>
    </w:p>
    <w:p w14:paraId="042725C3">
      <w:pPr>
        <w:spacing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（二）起草单位</w:t>
      </w:r>
    </w:p>
    <w:p w14:paraId="3E69169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本标准主要承担单位：</w:t>
      </w:r>
      <w:r>
        <w:rPr>
          <w:rFonts w:hint="eastAsia" w:ascii="仿宋_GB2312" w:hAnsi="仿宋_GB2312" w:eastAsia="仿宋_GB2312" w:cs="仿宋_GB2312"/>
          <w:sz w:val="32"/>
          <w:szCs w:val="32"/>
          <w:lang w:eastAsia="zh-CN"/>
        </w:rPr>
        <w:t>宁夏回族自治区农业技术推广总站</w:t>
      </w:r>
    </w:p>
    <w:p w14:paraId="5DBA85E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snapToGrid w:val="0"/>
          <w:color w:val="000000" w:themeColor="text1"/>
          <w:kern w:val="0"/>
          <w:sz w:val="32"/>
          <w:szCs w:val="32"/>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协作</w:t>
      </w:r>
      <w:r>
        <w:rPr>
          <w:rFonts w:ascii="仿宋_GB2312" w:hAnsi="仿宋_GB2312" w:eastAsia="仿宋_GB2312" w:cs="仿宋_GB2312"/>
          <w:sz w:val="32"/>
          <w:szCs w:val="32"/>
        </w:rPr>
        <w:t>单位</w:t>
      </w:r>
      <w:r>
        <w:rPr>
          <w:rFonts w:hint="eastAsia" w:ascii="仿宋_GB2312" w:hAnsi="仿宋_GB2312" w:eastAsia="仿宋_GB2312" w:cs="仿宋_GB2312"/>
          <w:sz w:val="32"/>
          <w:szCs w:val="32"/>
        </w:rPr>
        <w:t>为</w:t>
      </w:r>
      <w:r>
        <w:rPr>
          <w:rFonts w:ascii="仿宋_GB2312" w:hAnsi="仿宋_GB2312" w:eastAsia="仿宋_GB2312" w:cs="仿宋_GB2312"/>
          <w:sz w:val="32"/>
          <w:szCs w:val="32"/>
        </w:rPr>
        <w:t>：</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彭阳县农业技术推广服务中心、中宁县农业技术推广服务中心、西吉县农业技术推广服务中心、同心县农业技术推广服务中心、盐池县农业技术推广服务中心、固原市原州区农业技术推广服务中心、平罗县农业技术推广服务中心、青铜峡市农业技术和农机化推广服务中心</w:t>
      </w:r>
    </w:p>
    <w:p w14:paraId="6CD08DAC">
      <w:pPr>
        <w:spacing w:line="560" w:lineRule="exact"/>
        <w:ind w:firstLine="643" w:firstLineChars="200"/>
        <w:rPr>
          <w:rFonts w:hint="eastAsia" w:ascii="楷体" w:hAnsi="楷体" w:eastAsia="楷体" w:cs="楷体"/>
          <w:b/>
          <w:bCs/>
          <w:sz w:val="32"/>
          <w:szCs w:val="32"/>
          <w:lang w:eastAsia="zh-CN"/>
        </w:rPr>
      </w:pPr>
      <w:r>
        <w:rPr>
          <w:rFonts w:hint="eastAsia" w:ascii="楷体" w:hAnsi="楷体" w:eastAsia="楷体" w:cs="楷体"/>
          <w:b/>
          <w:bCs/>
          <w:sz w:val="32"/>
          <w:szCs w:val="32"/>
        </w:rPr>
        <w:t>（三）主要</w:t>
      </w:r>
      <w:r>
        <w:rPr>
          <w:rFonts w:ascii="楷体" w:hAnsi="楷体" w:eastAsia="楷体" w:cs="楷体"/>
          <w:b/>
          <w:bCs/>
          <w:sz w:val="32"/>
          <w:szCs w:val="32"/>
        </w:rPr>
        <w:t>起草人</w:t>
      </w:r>
      <w:r>
        <w:rPr>
          <w:rFonts w:hint="eastAsia" w:ascii="楷体" w:hAnsi="楷体" w:eastAsia="楷体" w:cs="楷体"/>
          <w:b/>
          <w:bCs/>
          <w:sz w:val="32"/>
          <w:szCs w:val="32"/>
          <w:lang w:eastAsia="zh-CN"/>
        </w:rPr>
        <w:t>及分工</w:t>
      </w:r>
    </w:p>
    <w:p w14:paraId="788FFE8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本标准主要起草人员及分工详见下表。</w:t>
      </w:r>
    </w:p>
    <w:p w14:paraId="5D5A94AF">
      <w:pPr>
        <w:spacing w:line="540" w:lineRule="exact"/>
        <w:jc w:val="center"/>
        <w:rPr>
          <w:rFonts w:hint="eastAsia" w:ascii="Times New Roman" w:hAnsi="Times New Roman" w:eastAsiaTheme="minorEastAsia"/>
          <w:sz w:val="24"/>
          <w:szCs w:val="24"/>
          <w:lang w:eastAsia="zh-CN"/>
        </w:rPr>
      </w:pPr>
      <w:r>
        <w:rPr>
          <w:rFonts w:ascii="Times New Roman" w:hAnsi="Times New Roman"/>
          <w:b w:val="0"/>
          <w:bCs w:val="0"/>
          <w:sz w:val="24"/>
          <w:szCs w:val="24"/>
        </w:rPr>
        <w:t>表1</w:t>
      </w:r>
      <w:r>
        <w:rPr>
          <w:rFonts w:hint="eastAsia" w:ascii="Times New Roman" w:hAnsi="Times New Roman"/>
          <w:sz w:val="24"/>
          <w:szCs w:val="24"/>
        </w:rPr>
        <w:t>“</w:t>
      </w:r>
      <w:r>
        <w:rPr>
          <w:rFonts w:hint="eastAsia" w:ascii="Times New Roman" w:hAnsi="Times New Roman"/>
          <w:sz w:val="24"/>
          <w:szCs w:val="24"/>
          <w:lang w:eastAsia="zh-CN"/>
        </w:rPr>
        <w:t>粮油作物一次性施肥</w:t>
      </w:r>
      <w:r>
        <w:rPr>
          <w:rFonts w:hint="eastAsia" w:ascii="Times New Roman" w:hAnsi="Times New Roman"/>
          <w:sz w:val="24"/>
          <w:szCs w:val="24"/>
        </w:rPr>
        <w:t>技术规</w:t>
      </w:r>
      <w:r>
        <w:rPr>
          <w:rFonts w:hint="eastAsia" w:ascii="Times New Roman" w:hAnsi="Times New Roman"/>
          <w:sz w:val="24"/>
          <w:szCs w:val="24"/>
          <w:lang w:val="en-US" w:eastAsia="zh-CN"/>
        </w:rPr>
        <w:t xml:space="preserve"> 第3部分：大豆玉米带状复合种植</w:t>
      </w:r>
      <w:r>
        <w:rPr>
          <w:rFonts w:hint="eastAsia" w:ascii="Times New Roman" w:hAnsi="Times New Roman"/>
          <w:sz w:val="24"/>
          <w:szCs w:val="24"/>
        </w:rPr>
        <w:t>”</w:t>
      </w:r>
      <w:r>
        <w:rPr>
          <w:rFonts w:hint="eastAsia" w:ascii="Times New Roman" w:hAnsi="Times New Roman"/>
          <w:sz w:val="24"/>
          <w:szCs w:val="24"/>
          <w:lang w:eastAsia="zh-CN"/>
        </w:rPr>
        <w:t>起草人及分工</w:t>
      </w:r>
    </w:p>
    <w:tbl>
      <w:tblPr>
        <w:tblStyle w:val="12"/>
        <w:tblW w:w="95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2"/>
        <w:gridCol w:w="995"/>
        <w:gridCol w:w="1773"/>
        <w:gridCol w:w="6055"/>
      </w:tblGrid>
      <w:tr w14:paraId="183FB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438B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AC7F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成员</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E15A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职称</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2724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主要工作</w:t>
            </w:r>
          </w:p>
        </w:tc>
      </w:tr>
      <w:tr w14:paraId="502A4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BD47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3BE4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王明国</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ECC1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正高级农艺师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FC6B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总体负责标准制订。</w:t>
            </w:r>
          </w:p>
        </w:tc>
      </w:tr>
      <w:tr w14:paraId="0C910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1C10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2D24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王  华</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6AF7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9DC5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负责缓释肥田间试验研究方案的设计、组织实施和协调，技术规程编写的组织及编写。</w:t>
            </w:r>
          </w:p>
        </w:tc>
      </w:tr>
      <w:tr w14:paraId="47BE5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0A00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AB63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尹学红</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ACA5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研究员</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7CF0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负责缓释肥田间试验研究方案的设计、组织实施和协调，技术规程编写的组织及编写。</w:t>
            </w:r>
          </w:p>
        </w:tc>
      </w:tr>
      <w:tr w14:paraId="0355D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B3F6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FAD6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耿  荣</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99F6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D4A7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负责全区缓释肥田间试验效果监测、实验数据的收集和整理。</w:t>
            </w:r>
          </w:p>
        </w:tc>
      </w:tr>
      <w:tr w14:paraId="153B4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EF7A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5391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陈  磊</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6053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高级农机工程师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19A8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负责缓释肥田间试验效果监测、实验数据的收集和整理。</w:t>
            </w:r>
          </w:p>
        </w:tc>
      </w:tr>
      <w:tr w14:paraId="3A951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76EA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ECD4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张婷婷</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6B70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助理农艺师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08ED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负责全区缓释肥试验实施、田间技术指导与示范推广及数据收集整理。</w:t>
            </w:r>
          </w:p>
        </w:tc>
      </w:tr>
      <w:tr w14:paraId="46D05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623E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6A64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吕  甫</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E6AC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1A8E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负责项目区田间试验效果监测、实验数据的收集和整理。</w:t>
            </w:r>
          </w:p>
        </w:tc>
      </w:tr>
      <w:tr w14:paraId="2F10D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AAB9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3DFE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郭军成</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7FA0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正高级农艺师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871D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负责全区缓释肥田间试验研究、实验数据的收集和整理，参与技术规程的撰写。</w:t>
            </w:r>
          </w:p>
        </w:tc>
      </w:tr>
      <w:tr w14:paraId="50342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E50D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3210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王翰霖</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26F2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E20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负责项目区试验数据观测与收集整理及肥料效果监测调查。</w:t>
            </w:r>
          </w:p>
        </w:tc>
      </w:tr>
      <w:tr w14:paraId="70BF3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A325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2164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张  丽</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C74E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EF4C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负责项目区田间试验、效果监测、实验数据的收集和整理。</w:t>
            </w:r>
          </w:p>
        </w:tc>
      </w:tr>
      <w:tr w14:paraId="65FA3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FE5A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3535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王双喜</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2537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907C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负责项目区试验数据观测与收集整理及肥料效果监测调查。</w:t>
            </w:r>
          </w:p>
        </w:tc>
      </w:tr>
      <w:tr w14:paraId="792E6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166F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3823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李  华</w:t>
            </w: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DF38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研究员</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6DD8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负责全区田间试验、效果监测、实验数据的收集和整理，技术规程的撰写。</w:t>
            </w:r>
          </w:p>
        </w:tc>
      </w:tr>
      <w:tr w14:paraId="68683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38C0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57DA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王青凤</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CE93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DC62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负责项目区田间试验、效果监测、实验数据的收集和整理。</w:t>
            </w:r>
          </w:p>
        </w:tc>
      </w:tr>
      <w:tr w14:paraId="5ECAE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9F30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9FDC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柳智星</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95D8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1BAB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负责项目区田间试验、效果监测、实验数据的收集和整理。</w:t>
            </w:r>
          </w:p>
        </w:tc>
      </w:tr>
      <w:tr w14:paraId="00563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A126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529A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任  杨</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BA67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C5A1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负责项目区田间试验、效果监测、实验数据的收集和整理。</w:t>
            </w:r>
          </w:p>
        </w:tc>
      </w:tr>
      <w:tr w14:paraId="763AD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6AAD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3AE8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丁永峰</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57F7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9AC7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负责项目区试验数据观测与收集整理及肥料效果监测调查。</w:t>
            </w:r>
          </w:p>
        </w:tc>
      </w:tr>
      <w:tr w14:paraId="6B518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3535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412C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杜常荣</w:t>
            </w: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8877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20D6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负责缓缓释肥及一次性施肥技术田间试验、技术指导、效果监测、实验数据的收集和整理。</w:t>
            </w:r>
          </w:p>
        </w:tc>
      </w:tr>
      <w:tr w14:paraId="3BE23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6048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A591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陈建伟</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37CE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F3E9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负责项目区田间试验、效果监测、实验数据的收集和整理。</w:t>
            </w:r>
          </w:p>
        </w:tc>
      </w:tr>
      <w:tr w14:paraId="557C0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8D1D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F6B6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冒海军</w:t>
            </w: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4A38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37E3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负责项目区田间试验、效果监测、实验数据的收集和整理。</w:t>
            </w:r>
          </w:p>
        </w:tc>
      </w:tr>
      <w:tr w14:paraId="7077A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F7A4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8544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王生明</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7974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正高级农艺师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58B0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负责项目区田间试验及调查、数据收集及整理。</w:t>
            </w:r>
          </w:p>
        </w:tc>
      </w:tr>
      <w:tr w14:paraId="73ABF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3E43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2293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张  薇</w:t>
            </w: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C2A6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6372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负责项目区田间试验、效果监测、实验数据的收集和整理。</w:t>
            </w:r>
          </w:p>
        </w:tc>
      </w:tr>
      <w:tr w14:paraId="24307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7E3B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543C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饶丽仙</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6949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CB76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负责项目区田间试验、效果监测、实验数据的收集和整理。</w:t>
            </w:r>
          </w:p>
        </w:tc>
      </w:tr>
      <w:tr w14:paraId="3B237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3370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5D73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olor w:val="auto"/>
                <w:lang w:eastAsia="zh-CN"/>
              </w:rPr>
              <w:t>王晓彤</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AC45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lang w:eastAsia="zh-CN"/>
              </w:rPr>
              <w:t>林业工程师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FE8F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负责项目区田间试验、效果监测、实验数据的收集和整理。</w:t>
            </w:r>
          </w:p>
        </w:tc>
      </w:tr>
      <w:tr w14:paraId="55E18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407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80C6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王宝锁</w:t>
            </w: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0AC8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正高级农艺师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09D4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负责项目区田间试验、效果监测、实验数据的收集和整理。</w:t>
            </w:r>
          </w:p>
        </w:tc>
      </w:tr>
      <w:tr w14:paraId="04D41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3060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3E7D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杨瑞霞</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4B09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研究员</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1DE6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负责项目区田间试验、效果监测、实验数据的收集和整理。</w:t>
            </w:r>
          </w:p>
        </w:tc>
      </w:tr>
      <w:tr w14:paraId="0BF8E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AB97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BEE6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宋永红</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1F59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19EA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负责项目区田间试验、效果监测、实验数据的收集和整理。</w:t>
            </w:r>
          </w:p>
        </w:tc>
      </w:tr>
      <w:tr w14:paraId="53E07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2ED8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B851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  洋</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BCCE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A221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负责项目区域内田间试验数据观测与收集整理及肥料效果监测调查，参与技术规程的撰写。</w:t>
            </w:r>
          </w:p>
        </w:tc>
      </w:tr>
      <w:tr w14:paraId="547A4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957B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ED35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赵  东</w:t>
            </w: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B2C4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10D8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负责项目区试验数据观测与收集整理及肥料效果监测调查。</w:t>
            </w:r>
          </w:p>
        </w:tc>
      </w:tr>
      <w:tr w14:paraId="00CAD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4C84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2879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马  婧</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5185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助理农艺师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56F3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负责项目区田间试验及调查、数据收集及整理。</w:t>
            </w:r>
          </w:p>
        </w:tc>
      </w:tr>
      <w:tr w14:paraId="21A29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4C75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621D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丁增伟</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E2D6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6009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负责项目区试验数据观测与收集整理及肥料效果监测调查。</w:t>
            </w:r>
          </w:p>
        </w:tc>
      </w:tr>
      <w:tr w14:paraId="395D5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878B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1C54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李成虎</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4EBF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77B3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负责项目区试验数据观测与收集整理及肥料效果监测调查。</w:t>
            </w:r>
          </w:p>
        </w:tc>
      </w:tr>
      <w:tr w14:paraId="5A918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299C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28E3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哈新芳</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F93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67C4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负责项目区试验数据观测与收集整理及肥料效果监测调查。</w:t>
            </w:r>
          </w:p>
        </w:tc>
      </w:tr>
      <w:tr w14:paraId="63CD2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8071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E440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李喜红</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C550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C6F3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负责全区试验数据观测与收集整理及肥料效果监测调查。</w:t>
            </w:r>
          </w:p>
        </w:tc>
      </w:tr>
      <w:tr w14:paraId="606CB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5A3E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4969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史彩芳</w:t>
            </w: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0326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高级农艺师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903B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负责项目区试验数据观测与收集整理及肥料效果监测调查。</w:t>
            </w:r>
          </w:p>
        </w:tc>
      </w:tr>
      <w:tr w14:paraId="7B94A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7FAE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D84C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田芸瑞</w:t>
            </w: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CA1F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CDBA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负责项目区田间试验、效果监测、实验数据的收集和整理。</w:t>
            </w:r>
          </w:p>
        </w:tc>
      </w:tr>
      <w:tr w14:paraId="05CFF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C3F6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6EDF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黑立晓</w:t>
            </w: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FEB2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8794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负责项目区田间试验、效果监测、实验数据的收集和整理。</w:t>
            </w:r>
          </w:p>
        </w:tc>
      </w:tr>
      <w:tr w14:paraId="1E037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DFF6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37</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29E9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李湘宁</w:t>
            </w: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E3C1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7F9E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负责全区田间试验效果监测、实验数据的收集和整理。</w:t>
            </w:r>
          </w:p>
        </w:tc>
      </w:tr>
      <w:tr w14:paraId="474E0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87E0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38</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6564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李  龙</w:t>
            </w: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E3DD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助理农艺师</w:t>
            </w:r>
          </w:p>
        </w:tc>
        <w:tc>
          <w:tcPr>
            <w:tcW w:w="6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7BA2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负责项目区田间试验及调查、数据收集及整理。</w:t>
            </w:r>
          </w:p>
        </w:tc>
      </w:tr>
    </w:tbl>
    <w:p w14:paraId="52E43252">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w:t>
      </w:r>
      <w:r>
        <w:rPr>
          <w:rFonts w:ascii="黑体" w:hAnsi="黑体" w:eastAsia="黑体" w:cs="黑体"/>
          <w:sz w:val="32"/>
          <w:szCs w:val="32"/>
        </w:rPr>
        <w:t>、制定</w:t>
      </w:r>
      <w:r>
        <w:rPr>
          <w:rFonts w:hint="eastAsia" w:ascii="黑体" w:hAnsi="黑体" w:eastAsia="黑体" w:cs="黑体"/>
          <w:sz w:val="32"/>
          <w:szCs w:val="32"/>
          <w:lang w:val="en-US" w:eastAsia="zh-CN"/>
        </w:rPr>
        <w:t>(修订)</w:t>
      </w:r>
      <w:r>
        <w:rPr>
          <w:rFonts w:ascii="黑体" w:hAnsi="黑体" w:eastAsia="黑体" w:cs="黑体"/>
          <w:sz w:val="32"/>
          <w:szCs w:val="32"/>
        </w:rPr>
        <w:t>标准的必要性和意义</w:t>
      </w:r>
    </w:p>
    <w:p w14:paraId="1802B54A">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制定《粮油作物一次性施肥技术规程 第3部分：大豆玉米带状复合种植》地方标准，是应对国家粮食安全战略需求、破解生产实际技术瓶颈、推动农业绿色高质量发展的关键举措，具有重要的现实意义和应用价值。</w:t>
      </w:r>
    </w:p>
    <w:p w14:paraId="24EC5F95">
      <w:pPr>
        <w:pStyle w:val="9"/>
        <w:keepNext w:val="0"/>
        <w:keepLines w:val="0"/>
        <w:widowControl/>
        <w:suppressLineNumbers w:val="0"/>
        <w:spacing w:before="0" w:beforeAutospacing="0" w:after="0" w:afterAutospacing="0"/>
        <w:ind w:left="0" w:right="0" w:firstLine="643"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w:t>
      </w:r>
      <w:r>
        <w:rPr>
          <w:rStyle w:val="14"/>
          <w:rFonts w:ascii="Segoe UI" w:hAnsi="Segoe UI" w:eastAsia="Segoe UI" w:cs="Segoe UI"/>
          <w:b/>
          <w:bCs/>
          <w:i w:val="0"/>
          <w:iCs w:val="0"/>
          <w:caps w:val="0"/>
          <w:color w:val="0F1115"/>
          <w:spacing w:val="0"/>
          <w:sz w:val="19"/>
          <w:szCs w:val="19"/>
          <w:shd w:val="clear" w:fill="FFFFFF"/>
        </w:rPr>
        <w:t xml:space="preserve"> </w:t>
      </w:r>
      <w:r>
        <w:rPr>
          <w:rFonts w:hint="eastAsia" w:ascii="仿宋_GB2312" w:hAnsi="仿宋_GB2312" w:eastAsia="仿宋_GB2312" w:cs="仿宋_GB2312"/>
          <w:b/>
          <w:bCs/>
          <w:kern w:val="2"/>
          <w:sz w:val="32"/>
          <w:szCs w:val="32"/>
          <w:lang w:val="en-US" w:eastAsia="zh-CN" w:bidi="ar-SA"/>
        </w:rPr>
        <w:t>落实国家战略的紧迫任务。</w:t>
      </w:r>
      <w:r>
        <w:rPr>
          <w:rFonts w:hint="eastAsia" w:ascii="仿宋_GB2312" w:hAnsi="仿宋_GB2312" w:eastAsia="仿宋_GB2312" w:cs="仿宋_GB2312"/>
          <w:kern w:val="2"/>
          <w:sz w:val="32"/>
          <w:szCs w:val="32"/>
          <w:lang w:val="en-US" w:eastAsia="zh-CN" w:bidi="ar-SA"/>
        </w:rPr>
        <w:t>玉米大豆是我国的大宗农产品，需求量巨大，争地矛盾是长期困扰我国粮食安全的一大难题。2021年我国进口大豆占进口粮食77%的市场份额，大豆自给率不到20%，严重影响粮食安全问题。</w:t>
      </w:r>
      <w:r>
        <w:rPr>
          <w:rFonts w:hint="default" w:ascii="仿宋_GB2312" w:hAnsi="仿宋_GB2312" w:eastAsia="仿宋_GB2312" w:cs="仿宋_GB2312"/>
          <w:kern w:val="2"/>
          <w:sz w:val="32"/>
          <w:szCs w:val="32"/>
          <w:lang w:val="en-US" w:eastAsia="zh-CN" w:bidi="ar-SA"/>
        </w:rPr>
        <w:t>为破解粮油争地矛盾、提升大豆自给率，国家将大豆玉米带状复合种植列为重要战略技术。宁夏作为黄河河套灌区的重要农业区，承担着国家下达的年度种植任务，制定配套的标准化施肥技术规程，是保障国家战略在地方精准落地、完成政治任务的技术先导和制度保障。</w:t>
      </w:r>
    </w:p>
    <w:p w14:paraId="3EA54BB0">
      <w:pPr>
        <w:pStyle w:val="9"/>
        <w:keepNext w:val="0"/>
        <w:keepLines w:val="0"/>
        <w:widowControl/>
        <w:suppressLineNumbers w:val="0"/>
        <w:spacing w:before="0" w:beforeAutospacing="0" w:after="0" w:afterAutospacing="0"/>
        <w:ind w:left="0" w:right="0" w:firstLine="643"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w:t>
      </w:r>
      <w:r>
        <w:rPr>
          <w:rFonts w:hint="default" w:ascii="仿宋_GB2312" w:hAnsi="仿宋_GB2312" w:eastAsia="仿宋_GB2312" w:cs="仿宋_GB2312"/>
          <w:b/>
          <w:bCs/>
          <w:kern w:val="2"/>
          <w:sz w:val="32"/>
          <w:szCs w:val="32"/>
          <w:lang w:val="en-US" w:eastAsia="zh-CN" w:bidi="ar-SA"/>
        </w:rPr>
        <w:t>破解生产瓶颈的关键措施</w:t>
      </w:r>
      <w:r>
        <w:rPr>
          <w:rFonts w:hint="eastAsia" w:ascii="仿宋_GB2312" w:hAnsi="仿宋_GB2312" w:eastAsia="仿宋_GB2312" w:cs="仿宋_GB2312"/>
          <w:b/>
          <w:bCs/>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大豆与玉米根系分布和养分需求规律迥异，在复合种植模式下存在“玉米需肥量大、大豆需氮少”的矛盾。当前生产中存在两大突出问题：一是“无标可依”，农户缺乏科学指导，普遍采用盲目混施、过量施肥的粗放方式，导致玉米营养不足、大豆氮肥过量徒长倒伏；二是“追肥困难”，后期机械无法进地，造成肥料利用效率低下、产量损失严重。因此，亟需一套标准化、轻简化的施肥方案，从源头解决精准供给难题。</w:t>
      </w:r>
    </w:p>
    <w:p w14:paraId="7E372C5D">
      <w:pPr>
        <w:pStyle w:val="9"/>
        <w:keepNext w:val="0"/>
        <w:keepLines w:val="0"/>
        <w:widowControl/>
        <w:suppressLineNumbers w:val="0"/>
        <w:spacing w:before="0" w:beforeAutospacing="0" w:after="0" w:afterAutospacing="0"/>
        <w:ind w:left="0" w:right="0" w:firstLine="643"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3.转化科研成果的有效途径。</w:t>
      </w:r>
      <w:r>
        <w:rPr>
          <w:rFonts w:hint="default" w:ascii="仿宋_GB2312" w:hAnsi="仿宋_GB2312" w:eastAsia="仿宋_GB2312" w:cs="仿宋_GB2312"/>
          <w:kern w:val="2"/>
          <w:sz w:val="32"/>
          <w:szCs w:val="32"/>
          <w:lang w:val="en-US" w:eastAsia="zh-CN" w:bidi="ar-SA"/>
        </w:rPr>
        <w:t>为攻克上述难题，宁夏农业技术推广总站自2010年起，通过长期系统的田间试验，已成功筛选出适配的缓释型配方肥，并初步形成了“一次基施、全程供应”的技术模式。制定本标准，旨在将历时十余年、经过实践检验的科研成果，从试验论文和项目总结，固化为具有权威性、约束性和普适性的地方技术法规，使其能快速、准确地推广到千家万户，避免技术走样和效益衰减。</w:t>
      </w:r>
    </w:p>
    <w:p w14:paraId="236EAEF2">
      <w:pPr>
        <w:pStyle w:val="9"/>
        <w:keepNext w:val="0"/>
        <w:keepLines w:val="0"/>
        <w:widowControl/>
        <w:suppressLineNumbers w:val="0"/>
        <w:spacing w:before="0" w:beforeAutospacing="0" w:after="0" w:afterAutospacing="0"/>
        <w:ind w:left="0" w:right="0" w:firstLine="643"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4.推动绿色发展的必然要求。</w:t>
      </w:r>
      <w:r>
        <w:rPr>
          <w:rFonts w:hint="default" w:ascii="仿宋_GB2312" w:hAnsi="仿宋_GB2312" w:eastAsia="仿宋_GB2312" w:cs="仿宋_GB2312"/>
          <w:kern w:val="2"/>
          <w:sz w:val="32"/>
          <w:szCs w:val="32"/>
          <w:lang w:val="en-US" w:eastAsia="zh-CN" w:bidi="ar-SA"/>
        </w:rPr>
        <w:t>本标准所规范的一次性施肥技术，能确保大豆、玉米在全生育期内获得稳定、协调的养分供应，解决传统方式下后期脱肥的问题。标准推广可实现“两减三增”的综合效益：通过缓释肥一次性深施，减少施肥次数与化肥总量，从而降低劳力成本与面源污染风险；同时增加作物产量、肥料利用效率和种植效益，推动生产向轻简化、精准化、绿色化转型升级。</w:t>
      </w:r>
    </w:p>
    <w:p w14:paraId="4EB61F7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综上所述，本标准的制定，是衔接国家战略与地方实践、贯通科研创新与生产应用、兼顾粮食增产与绿色发展的关键一环。它将为宁夏乃至类似生态区规范、高效地推广大豆玉米带状复合种植技术提供不可或缺的标准依据，对保障国家粮油安全、促进农业现代化转型具有重要意义。</w:t>
      </w:r>
    </w:p>
    <w:p w14:paraId="29BF068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黑体" w:hAnsi="黑体" w:eastAsia="黑体" w:cs="黑体"/>
          <w:sz w:val="32"/>
          <w:szCs w:val="32"/>
        </w:rPr>
      </w:pPr>
      <w:r>
        <w:rPr>
          <w:rFonts w:hint="eastAsia" w:ascii="黑体" w:hAnsi="黑体" w:eastAsia="黑体" w:cs="黑体"/>
          <w:sz w:val="32"/>
          <w:szCs w:val="32"/>
        </w:rPr>
        <w:t>三</w:t>
      </w:r>
      <w:r>
        <w:rPr>
          <w:rFonts w:ascii="黑体" w:hAnsi="黑体" w:eastAsia="黑体" w:cs="黑体"/>
          <w:sz w:val="32"/>
          <w:szCs w:val="32"/>
        </w:rPr>
        <w:t>、</w:t>
      </w:r>
      <w:r>
        <w:rPr>
          <w:rFonts w:hint="eastAsia" w:ascii="黑体" w:hAnsi="黑体" w:eastAsia="黑体" w:cs="黑体"/>
          <w:sz w:val="32"/>
          <w:szCs w:val="32"/>
        </w:rPr>
        <w:t>主要起草过程</w:t>
      </w:r>
    </w:p>
    <w:p w14:paraId="2C78DFF5">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b/>
          <w:bCs/>
          <w:sz w:val="32"/>
          <w:szCs w:val="32"/>
          <w:lang w:val="en-US" w:eastAsia="zh-CN"/>
        </w:rPr>
        <w:t>（一）组建起草组，明确职责分工。</w:t>
      </w:r>
      <w:r>
        <w:rPr>
          <w:rFonts w:hint="eastAsia" w:ascii="仿宋_GB2312" w:hAnsi="仿宋_GB2312" w:eastAsia="仿宋_GB2312" w:cs="仿宋_GB2312"/>
          <w:sz w:val="32"/>
          <w:szCs w:val="32"/>
          <w:lang w:val="en-US" w:eastAsia="zh-CN"/>
        </w:rPr>
        <w:t>自治区农业技术推广总站在收到地方标准制（修）订任务后，及时组建标准修订工作组，细化职责分工，制定工作计划，确保标准修订工作有序推进、按期完成。</w:t>
      </w:r>
    </w:p>
    <w:p w14:paraId="0DAB7AF4">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color w:val="000000"/>
          <w:kern w:val="0"/>
          <w:sz w:val="32"/>
          <w:szCs w:val="32"/>
          <w:lang w:val="en-US" w:eastAsia="zh-CN" w:bidi="ar"/>
        </w:rPr>
      </w:pPr>
      <w:r>
        <w:rPr>
          <w:rFonts w:hint="eastAsia" w:ascii="楷体" w:hAnsi="楷体" w:eastAsia="楷体" w:cs="楷体"/>
          <w:b/>
          <w:bCs/>
          <w:sz w:val="32"/>
          <w:szCs w:val="32"/>
        </w:rPr>
        <w:t>（二）开展资料收集与分析</w:t>
      </w:r>
      <w:r>
        <w:rPr>
          <w:rFonts w:hint="eastAsia" w:ascii="楷体" w:hAnsi="楷体" w:eastAsia="楷体" w:cs="楷体"/>
          <w:b/>
          <w:bCs/>
          <w:sz w:val="32"/>
          <w:szCs w:val="32"/>
          <w:lang w:eastAsia="zh-CN"/>
        </w:rPr>
        <w:t>。</w:t>
      </w:r>
      <w:r>
        <w:rPr>
          <w:rFonts w:hint="eastAsia" w:ascii="仿宋_GB2312" w:hAnsi="仿宋_GB2312" w:eastAsia="仿宋_GB2312" w:cs="仿宋_GB2312"/>
          <w:color w:val="000000"/>
          <w:kern w:val="0"/>
          <w:sz w:val="32"/>
          <w:szCs w:val="32"/>
          <w:lang w:val="en-US" w:eastAsia="zh-CN" w:bidi="ar"/>
        </w:rPr>
        <w:t>起草组以测土配方施肥和化肥减量增效项目在主要粮食作物上开展的田间试验为基础，系统梳理、分析2021年以来在宁夏大豆玉米带状复合种植上开展的一次性施肥技术试验研究与示范数据，广泛搜集相关法律法规、政策文件、标准文献及研究报告，参考国内外技术进展与实践经验，初步形成本标准编写大纲、主要技术内容和结构框架，为后续编制奠定基础。</w:t>
      </w:r>
    </w:p>
    <w:p w14:paraId="42C790AD">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（三）形成标准草案。</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月，起草组在系统整理、分析资料的基础上，完成标准讨论稿编制。</w:t>
      </w:r>
    </w:p>
    <w:p w14:paraId="0E797688">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bCs/>
          <w:color w:val="FF0000"/>
          <w:sz w:val="32"/>
          <w:szCs w:val="32"/>
        </w:rPr>
      </w:pPr>
      <w:r>
        <w:rPr>
          <w:rFonts w:hint="eastAsia" w:ascii="仿宋_GB2312" w:hAnsi="仿宋_GB2312" w:eastAsia="仿宋_GB2312" w:cs="仿宋_GB2312"/>
          <w:sz w:val="32"/>
          <w:szCs w:val="32"/>
          <w:lang w:val="en-US" w:eastAsia="zh-CN"/>
        </w:rPr>
        <w:t>2025年5月，</w:t>
      </w:r>
      <w:r>
        <w:rPr>
          <w:rStyle w:val="19"/>
          <w:rFonts w:hint="eastAsia" w:ascii="仿宋_GB2312" w:hAnsi="仿宋_GB2312" w:eastAsia="仿宋_GB2312" w:cs="仿宋_GB2312"/>
          <w:color w:val="000000" w:themeColor="text1"/>
          <w:kern w:val="0"/>
          <w:sz w:val="32"/>
          <w:szCs w:val="32"/>
          <w:lang w:val="zh-CN"/>
          <w14:textFill>
            <w14:solidFill>
              <w14:schemeClr w14:val="tx1"/>
            </w14:solidFill>
          </w14:textFill>
        </w:rPr>
        <w:t>召开标准立项审查会，</w:t>
      </w:r>
      <w:r>
        <w:rPr>
          <w:rFonts w:ascii="Times New Roman" w:hAnsi="Times New Roman" w:eastAsia="仿宋_GB2312" w:cs="Times New Roman"/>
          <w:color w:val="000000" w:themeColor="text1"/>
          <w:sz w:val="32"/>
          <w:szCs w:val="32"/>
          <w14:textFill>
            <w14:solidFill>
              <w14:schemeClr w14:val="tx1"/>
            </w14:solidFill>
          </w14:textFill>
        </w:rPr>
        <w:t>组织</w:t>
      </w:r>
      <w:r>
        <w:rPr>
          <w:rFonts w:hint="eastAsia" w:ascii="Times New Roman" w:hAnsi="Times New Roman" w:eastAsia="仿宋_GB2312" w:cs="Times New Roman"/>
          <w:color w:val="000000" w:themeColor="text1"/>
          <w:sz w:val="32"/>
          <w:szCs w:val="32"/>
          <w14:textFill>
            <w14:solidFill>
              <w14:schemeClr w14:val="tx1"/>
            </w14:solidFill>
          </w14:textFill>
        </w:rPr>
        <w:t>相关领域专家就《粮油作物一次性施肥技术规程 第</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w:t>
      </w:r>
      <w:r>
        <w:rPr>
          <w:rFonts w:hint="eastAsia" w:ascii="Times New Roman" w:hAnsi="Times New Roman" w:eastAsia="仿宋_GB2312" w:cs="Times New Roman"/>
          <w:color w:val="000000" w:themeColor="text1"/>
          <w:sz w:val="32"/>
          <w:szCs w:val="32"/>
          <w14:textFill>
            <w14:solidFill>
              <w14:schemeClr w14:val="tx1"/>
            </w14:solidFill>
          </w14:textFill>
        </w:rPr>
        <w:t>部分：</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大豆玉米带状复合种植</w:t>
      </w:r>
      <w:r>
        <w:rPr>
          <w:rFonts w:hint="eastAsia" w:ascii="Times New Roman" w:hAnsi="Times New Roman" w:eastAsia="仿宋_GB2312" w:cs="Times New Roman"/>
          <w:color w:val="000000" w:themeColor="text1"/>
          <w:sz w:val="32"/>
          <w:szCs w:val="32"/>
          <w14:textFill>
            <w14:solidFill>
              <w14:schemeClr w14:val="tx1"/>
            </w14:solidFill>
          </w14:textFill>
        </w:rPr>
        <w:t>》进行论证，结合专家意见修改完善，形成标准征求意见稿及编制说明。</w:t>
      </w:r>
    </w:p>
    <w:p w14:paraId="49663ADE">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pPr>
      <w:r>
        <w:rPr>
          <w:rFonts w:hint="eastAsia" w:ascii="楷体" w:hAnsi="楷体" w:eastAsia="楷体" w:cs="楷体"/>
          <w:b/>
          <w:bCs/>
          <w:sz w:val="32"/>
          <w:szCs w:val="32"/>
        </w:rPr>
        <w:t>（四）组织调研与征求意见。</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起草组赴部分县（市、区）开展实地调研，通过座谈交流、随机走访等形式，就标准内容的科学性、适用性及可操作性听取基层单位、技术推广人员与种植主体的意见。</w:t>
      </w:r>
    </w:p>
    <w:p w14:paraId="338459F5">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完成意见征集与整理工作，共收到反馈意</w:t>
      </w:r>
      <w:r>
        <w:rPr>
          <w:rFonts w:hint="eastAsia" w:ascii="仿宋_GB2312" w:hAnsi="仿宋_GB2312" w:eastAsia="仿宋_GB2312" w:cs="仿宋_GB2312"/>
          <w:color w:val="auto"/>
          <w:sz w:val="32"/>
          <w:szCs w:val="32"/>
          <w:highlight w:val="none"/>
        </w:rPr>
        <w:t>见</w:t>
      </w:r>
      <w:r>
        <w:rPr>
          <w:rFonts w:hint="eastAsia" w:ascii="仿宋_GB2312" w:hAnsi="仿宋_GB2312" w:eastAsia="仿宋_GB2312" w:cs="仿宋_GB2312"/>
          <w:color w:val="auto"/>
          <w:sz w:val="32"/>
          <w:szCs w:val="32"/>
          <w:highlight w:val="none"/>
          <w:lang w:val="en-US" w:eastAsia="zh-CN"/>
        </w:rPr>
        <w:t>26</w:t>
      </w:r>
      <w:r>
        <w:rPr>
          <w:rFonts w:hint="eastAsia" w:ascii="仿宋_GB2312" w:hAnsi="仿宋_GB2312" w:eastAsia="仿宋_GB2312" w:cs="仿宋_GB2312"/>
          <w:color w:val="auto"/>
          <w:sz w:val="32"/>
          <w:szCs w:val="32"/>
          <w:highlight w:val="none"/>
        </w:rPr>
        <w:t>条，采纳</w:t>
      </w:r>
      <w:r>
        <w:rPr>
          <w:rFonts w:hint="eastAsia" w:ascii="仿宋_GB2312" w:hAnsi="仿宋_GB2312" w:eastAsia="仿宋_GB2312" w:cs="仿宋_GB2312"/>
          <w:color w:val="auto"/>
          <w:sz w:val="32"/>
          <w:szCs w:val="32"/>
          <w:highlight w:val="none"/>
          <w:lang w:val="en-US" w:eastAsia="zh-CN"/>
        </w:rPr>
        <w:t>26</w:t>
      </w:r>
      <w:r>
        <w:rPr>
          <w:rFonts w:hint="eastAsia" w:ascii="仿宋_GB2312" w:hAnsi="仿宋_GB2312" w:eastAsia="仿宋_GB2312" w:cs="仿宋_GB2312"/>
          <w:color w:val="auto"/>
          <w:sz w:val="32"/>
          <w:szCs w:val="32"/>
          <w:highlight w:val="none"/>
        </w:rPr>
        <w:t>条，据此对标准文本与编制说明作进一步</w:t>
      </w:r>
      <w:r>
        <w:rPr>
          <w:rFonts w:hint="eastAsia" w:ascii="仿宋_GB2312" w:hAnsi="仿宋_GB2312" w:eastAsia="仿宋_GB2312" w:cs="仿宋_GB2312"/>
          <w:color w:val="auto"/>
          <w:sz w:val="32"/>
          <w:szCs w:val="32"/>
        </w:rPr>
        <w:t>修改完善，形成《粮油作物一次性施肥技术规程 第</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部分：</w:t>
      </w:r>
      <w:r>
        <w:rPr>
          <w:rFonts w:hint="eastAsia" w:ascii="仿宋_GB2312" w:hAnsi="仿宋_GB2312" w:eastAsia="仿宋_GB2312" w:cs="仿宋_GB2312"/>
          <w:color w:val="auto"/>
          <w:sz w:val="32"/>
          <w:szCs w:val="32"/>
          <w:lang w:eastAsia="zh-CN"/>
        </w:rPr>
        <w:t>大豆玉米带状复合种植</w:t>
      </w:r>
      <w:r>
        <w:rPr>
          <w:rFonts w:hint="eastAsia" w:ascii="仿宋_GB2312" w:hAnsi="仿宋_GB2312" w:eastAsia="仿宋_GB2312" w:cs="仿宋_GB2312"/>
          <w:color w:val="auto"/>
          <w:sz w:val="32"/>
          <w:szCs w:val="32"/>
        </w:rPr>
        <w:t>》（征求意见稿），确保标准内容符合生产实际、具备指导价值。</w:t>
      </w:r>
    </w:p>
    <w:p w14:paraId="2F5AF260">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黑体" w:hAnsi="黑体" w:eastAsia="黑体" w:cs="黑体"/>
          <w:sz w:val="32"/>
          <w:szCs w:val="32"/>
        </w:rPr>
      </w:pPr>
      <w:r>
        <w:rPr>
          <w:rFonts w:hint="eastAsia" w:ascii="黑体" w:hAnsi="黑体" w:eastAsia="黑体" w:cs="黑体"/>
          <w:sz w:val="32"/>
          <w:szCs w:val="32"/>
        </w:rPr>
        <w:t>四、</w:t>
      </w:r>
      <w:r>
        <w:rPr>
          <w:rFonts w:hint="eastAsia" w:ascii="黑体" w:hAnsi="黑体" w:eastAsia="黑体" w:cs="黑体"/>
          <w:sz w:val="32"/>
          <w:szCs w:val="32"/>
          <w:lang w:eastAsia="zh-CN"/>
        </w:rPr>
        <w:t>编制</w:t>
      </w:r>
      <w:r>
        <w:rPr>
          <w:rFonts w:hint="eastAsia" w:ascii="黑体" w:hAnsi="黑体" w:eastAsia="黑体" w:cs="黑体"/>
          <w:sz w:val="32"/>
          <w:szCs w:val="32"/>
        </w:rPr>
        <w:t>原则和依据，与</w:t>
      </w:r>
      <w:r>
        <w:rPr>
          <w:rFonts w:ascii="黑体" w:hAnsi="黑体" w:eastAsia="黑体" w:cs="黑体"/>
          <w:sz w:val="32"/>
          <w:szCs w:val="32"/>
        </w:rPr>
        <w:t>现行法律</w:t>
      </w:r>
      <w:r>
        <w:rPr>
          <w:rFonts w:hint="eastAsia" w:ascii="黑体" w:hAnsi="黑体" w:eastAsia="黑体" w:cs="黑体"/>
          <w:sz w:val="32"/>
          <w:szCs w:val="32"/>
        </w:rPr>
        <w:t>、</w:t>
      </w:r>
      <w:r>
        <w:rPr>
          <w:rFonts w:ascii="黑体" w:hAnsi="黑体" w:eastAsia="黑体" w:cs="黑体"/>
          <w:sz w:val="32"/>
          <w:szCs w:val="32"/>
        </w:rPr>
        <w:t>法规</w:t>
      </w:r>
      <w:r>
        <w:rPr>
          <w:rFonts w:hint="eastAsia" w:ascii="黑体" w:hAnsi="黑体" w:eastAsia="黑体" w:cs="黑体"/>
          <w:sz w:val="32"/>
          <w:szCs w:val="32"/>
        </w:rPr>
        <w:t>、</w:t>
      </w:r>
      <w:r>
        <w:rPr>
          <w:rFonts w:ascii="黑体" w:hAnsi="黑体" w:eastAsia="黑体" w:cs="黑体"/>
          <w:sz w:val="32"/>
          <w:szCs w:val="32"/>
        </w:rPr>
        <w:t>标准的</w:t>
      </w:r>
      <w:r>
        <w:rPr>
          <w:rFonts w:hint="eastAsia" w:ascii="黑体" w:hAnsi="黑体" w:eastAsia="黑体" w:cs="黑体"/>
          <w:sz w:val="32"/>
          <w:szCs w:val="32"/>
        </w:rPr>
        <w:t>关系</w:t>
      </w:r>
    </w:p>
    <w:p w14:paraId="62E40EBD">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w:t>
      </w:r>
      <w:r>
        <w:rPr>
          <w:rFonts w:hint="eastAsia" w:ascii="楷体" w:hAnsi="楷体" w:eastAsia="楷体" w:cs="楷体"/>
          <w:b/>
          <w:bCs/>
          <w:sz w:val="32"/>
          <w:szCs w:val="32"/>
          <w:lang w:eastAsia="zh-CN"/>
        </w:rPr>
        <w:t>编制</w:t>
      </w:r>
      <w:r>
        <w:rPr>
          <w:rFonts w:hint="eastAsia" w:ascii="楷体" w:hAnsi="楷体" w:eastAsia="楷体" w:cs="楷体"/>
          <w:b/>
          <w:bCs/>
          <w:sz w:val="32"/>
          <w:szCs w:val="32"/>
        </w:rPr>
        <w:t>原则</w:t>
      </w:r>
    </w:p>
    <w:p w14:paraId="737D5B55">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遵循“科学性、先进性、合理性、适用性”原则，</w:t>
      </w:r>
      <w:r>
        <w:rPr>
          <w:rFonts w:hint="eastAsia" w:ascii="仿宋_GB2312" w:hAnsi="仿宋_GB2312" w:eastAsia="仿宋_GB2312" w:cs="仿宋_GB2312"/>
          <w:sz w:val="32"/>
          <w:szCs w:val="32"/>
          <w:lang w:val="en-US" w:eastAsia="zh-CN"/>
        </w:rPr>
        <w:t>在广泛调研和听取各方意见的基础上，注重技术内容的准确性、规范性与实用性，确保标准符合宁夏大豆玉米带状复合种植生产实际，能够有效指导一次性施肥技术规模化、标准化应用，为推进化肥减量增效和农业绿色高质量发展提供技术支撑。</w:t>
      </w:r>
    </w:p>
    <w:p w14:paraId="673E3DE1">
      <w:pPr>
        <w:keepNext w:val="0"/>
        <w:keepLines w:val="0"/>
        <w:widowControl/>
        <w:numPr>
          <w:ilvl w:val="0"/>
          <w:numId w:val="0"/>
        </w:numPr>
        <w:suppressLineNumbers w:val="0"/>
        <w:ind w:firstLine="643" w:firstLineChars="200"/>
        <w:jc w:val="left"/>
        <w:rPr>
          <w:rFonts w:hint="eastAsia" w:ascii="楷体" w:hAnsi="楷体" w:eastAsia="楷体" w:cs="楷体"/>
          <w:b/>
          <w:bCs/>
          <w:sz w:val="32"/>
          <w:szCs w:val="32"/>
        </w:rPr>
      </w:pPr>
      <w:r>
        <w:rPr>
          <w:rFonts w:hint="eastAsia" w:ascii="楷体" w:hAnsi="楷体" w:eastAsia="楷体" w:cs="楷体"/>
          <w:b/>
          <w:bCs/>
          <w:sz w:val="32"/>
          <w:szCs w:val="32"/>
          <w:lang w:eastAsia="zh-CN"/>
        </w:rPr>
        <w:t>（二）编制</w:t>
      </w:r>
      <w:r>
        <w:rPr>
          <w:rFonts w:hint="eastAsia" w:ascii="楷体" w:hAnsi="楷体" w:eastAsia="楷体" w:cs="楷体"/>
          <w:b/>
          <w:bCs/>
          <w:sz w:val="32"/>
          <w:szCs w:val="32"/>
        </w:rPr>
        <w:t>依据</w:t>
      </w:r>
    </w:p>
    <w:p w14:paraId="2EF53B9A">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1.任务依据。根据自治区市场监管厅《关于征集2025年宁夏地方标准立项计划的通知》《关于下达2025年宁夏地方标准制（修）订计划的通知》要求开展本标准编制工作。</w:t>
      </w:r>
    </w:p>
    <w:p w14:paraId="75CCCCFA">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2.格式依据。本标准的结构与编写严格遵循《中华人民共和国标准化法》《宁夏回族自治区地方标准管理办法》及《标准化工作导则 第1部分：标准的结构和编写》（GB/T 1.1-2020）的规定。</w:t>
      </w:r>
    </w:p>
    <w:p w14:paraId="55B7BAF0">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技术依据。以宁夏农业技术推广总站及相关单位在主要粮食作物上开展的测土配方施肥、化肥减量增效及一次性施肥等试验研究与示范成果为基础，结合国内外相关技术进展与实践经验，提出本标准的技术条款。</w:t>
      </w:r>
    </w:p>
    <w:p w14:paraId="2019B142">
      <w:pPr>
        <w:spacing w:line="560" w:lineRule="exact"/>
        <w:ind w:firstLine="643" w:firstLineChars="200"/>
        <w:rPr>
          <w:rFonts w:hint="eastAsia" w:ascii="楷体" w:hAnsi="楷体" w:eastAsia="楷体" w:cs="楷体"/>
          <w:b/>
          <w:bCs/>
          <w:sz w:val="32"/>
          <w:szCs w:val="32"/>
          <w:lang w:eastAsia="zh-CN"/>
        </w:rPr>
      </w:pPr>
      <w:r>
        <w:rPr>
          <w:rFonts w:hint="eastAsia" w:ascii="楷体" w:hAnsi="楷体" w:eastAsia="楷体" w:cs="楷体"/>
          <w:b/>
          <w:bCs/>
          <w:sz w:val="32"/>
          <w:szCs w:val="32"/>
        </w:rPr>
        <w:t>（三）与现行法律法规、标准的关系</w:t>
      </w:r>
    </w:p>
    <w:p w14:paraId="79F2594E">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内容符合国家及地方有关农业资源保护、耕地质量提升、农业面源污染防治等相关法律法规与政策要求，与现行有效的国家、行业及地方相关标准协调一致，不存在冲突。本标准的制定旨在细化、补充和完善大豆玉米带状复合种植一次性施肥方面的技术要求，与现有标准体系衔接配套，共同推动农业技术标准化和绿色可持续发展。</w:t>
      </w:r>
    </w:p>
    <w:p w14:paraId="13B228D1">
      <w:pPr>
        <w:spacing w:line="600" w:lineRule="exact"/>
        <w:ind w:firstLine="640" w:firstLineChars="200"/>
        <w:rPr>
          <w:rFonts w:ascii="仿宋_GB2312" w:hAnsi="仿宋_GB2312" w:eastAsia="仿宋_GB2312" w:cs="仿宋_GB2312"/>
          <w:snapToGrid w:val="0"/>
          <w:color w:val="000000" w:themeColor="text1"/>
          <w:kern w:val="0"/>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w:t>
      </w:r>
      <w:r>
        <w:rPr>
          <w:rFonts w:ascii="黑体" w:hAnsi="黑体" w:eastAsia="黑体" w:cs="黑体"/>
          <w:snapToGrid w:val="0"/>
          <w:color w:val="000000" w:themeColor="text1"/>
          <w:kern w:val="0"/>
          <w:sz w:val="32"/>
          <w:szCs w:val="32"/>
          <w14:textFill>
            <w14:solidFill>
              <w14:schemeClr w14:val="tx1"/>
            </w14:solidFill>
          </w14:textFill>
        </w:rPr>
        <w:t>主要条款的说明</w:t>
      </w:r>
      <w:r>
        <w:rPr>
          <w:rFonts w:hint="eastAsia" w:ascii="黑体" w:hAnsi="黑体" w:eastAsia="黑体" w:cs="黑体"/>
          <w:snapToGrid w:val="0"/>
          <w:color w:val="000000" w:themeColor="text1"/>
          <w:kern w:val="0"/>
          <w:sz w:val="32"/>
          <w:szCs w:val="32"/>
          <w14:textFill>
            <w14:solidFill>
              <w14:schemeClr w14:val="tx1"/>
            </w14:solidFill>
          </w14:textFill>
        </w:rPr>
        <w:t>，主要</w:t>
      </w:r>
      <w:r>
        <w:rPr>
          <w:rFonts w:ascii="黑体" w:hAnsi="黑体" w:eastAsia="黑体" w:cs="黑体"/>
          <w:snapToGrid w:val="0"/>
          <w:color w:val="000000" w:themeColor="text1"/>
          <w:kern w:val="0"/>
          <w:sz w:val="32"/>
          <w:szCs w:val="32"/>
          <w14:textFill>
            <w14:solidFill>
              <w14:schemeClr w14:val="tx1"/>
            </w14:solidFill>
          </w14:textFill>
        </w:rPr>
        <w:t>技术指标、参数、实验验证的</w:t>
      </w:r>
      <w:r>
        <w:rPr>
          <w:rFonts w:hint="eastAsia" w:ascii="黑体" w:hAnsi="黑体" w:eastAsia="黑体" w:cs="黑体"/>
          <w:snapToGrid w:val="0"/>
          <w:color w:val="000000" w:themeColor="text1"/>
          <w:kern w:val="0"/>
          <w:sz w:val="32"/>
          <w:szCs w:val="32"/>
          <w14:textFill>
            <w14:solidFill>
              <w14:schemeClr w14:val="tx1"/>
            </w14:solidFill>
          </w14:textFill>
        </w:rPr>
        <w:t>论述</w:t>
      </w:r>
    </w:p>
    <w:p w14:paraId="0945A80F">
      <w:pPr>
        <w:spacing w:line="600" w:lineRule="exact"/>
        <w:ind w:firstLine="643" w:firstLineChars="200"/>
        <w:rPr>
          <w:rFonts w:ascii="楷体_GB2312" w:hAnsi="仿宋_GB2312" w:eastAsia="楷体_GB2312" w:cs="仿宋_GB2312"/>
          <w:b/>
          <w:bCs/>
          <w:snapToGrid w:val="0"/>
          <w:color w:val="000000" w:themeColor="text1"/>
          <w:kern w:val="0"/>
          <w:sz w:val="32"/>
          <w:szCs w:val="32"/>
          <w14:textFill>
            <w14:solidFill>
              <w14:schemeClr w14:val="tx1"/>
            </w14:solidFill>
          </w14:textFill>
        </w:rPr>
      </w:pPr>
      <w:r>
        <w:rPr>
          <w:rFonts w:hint="eastAsia" w:ascii="楷体_GB2312" w:hAnsi="仿宋_GB2312" w:eastAsia="楷体_GB2312" w:cs="仿宋_GB2312"/>
          <w:b/>
          <w:bCs/>
          <w:snapToGrid w:val="0"/>
          <w:color w:val="000000" w:themeColor="text1"/>
          <w:kern w:val="0"/>
          <w:sz w:val="32"/>
          <w:szCs w:val="32"/>
          <w14:textFill>
            <w14:solidFill>
              <w14:schemeClr w14:val="tx1"/>
            </w14:solidFill>
          </w14:textFill>
        </w:rPr>
        <w:t>（一）主要</w:t>
      </w:r>
      <w:r>
        <w:rPr>
          <w:rFonts w:hint="eastAsia" w:ascii="楷体_GB2312" w:hAnsi="仿宋_GB2312" w:eastAsia="楷体_GB2312" w:cs="仿宋_GB2312"/>
          <w:b/>
          <w:bCs/>
          <w:snapToGrid w:val="0"/>
          <w:color w:val="000000" w:themeColor="text1"/>
          <w:kern w:val="0"/>
          <w:sz w:val="32"/>
          <w:szCs w:val="32"/>
          <w:lang w:eastAsia="zh-CN"/>
          <w14:textFill>
            <w14:solidFill>
              <w14:schemeClr w14:val="tx1"/>
            </w14:solidFill>
          </w14:textFill>
        </w:rPr>
        <w:t>技术</w:t>
      </w:r>
      <w:r>
        <w:rPr>
          <w:rFonts w:hint="eastAsia" w:ascii="楷体_GB2312" w:hAnsi="仿宋_GB2312" w:eastAsia="楷体_GB2312" w:cs="仿宋_GB2312"/>
          <w:b/>
          <w:bCs/>
          <w:snapToGrid w:val="0"/>
          <w:color w:val="000000" w:themeColor="text1"/>
          <w:kern w:val="0"/>
          <w:sz w:val="32"/>
          <w:szCs w:val="32"/>
          <w14:textFill>
            <w14:solidFill>
              <w14:schemeClr w14:val="tx1"/>
            </w14:solidFill>
          </w14:textFill>
        </w:rPr>
        <w:t>条款</w:t>
      </w:r>
      <w:r>
        <w:rPr>
          <w:rFonts w:ascii="楷体_GB2312" w:hAnsi="仿宋_GB2312" w:eastAsia="楷体_GB2312" w:cs="仿宋_GB2312"/>
          <w:b/>
          <w:bCs/>
          <w:snapToGrid w:val="0"/>
          <w:color w:val="000000" w:themeColor="text1"/>
          <w:kern w:val="0"/>
          <w:sz w:val="32"/>
          <w:szCs w:val="32"/>
          <w14:textFill>
            <w14:solidFill>
              <w14:schemeClr w14:val="tx1"/>
            </w14:solidFill>
          </w14:textFill>
        </w:rPr>
        <w:t>说明</w:t>
      </w:r>
    </w:p>
    <w:p w14:paraId="579F77DC">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本标准围绕大豆玉米带状复合种植一次性施肥技术，主要从肥料选择、施肥量、施肥方法等维度构建技术体系。</w:t>
      </w:r>
    </w:p>
    <w:p w14:paraId="5BC50CC0">
      <w:pPr>
        <w:spacing w:line="60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 总体编制思路</w:t>
      </w:r>
    </w:p>
    <w:p w14:paraId="12A7E701">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本标准的“施肥量与施肥方法”（对应标准正文第5章）是核心技术章节。其编制严格遵循“</w:t>
      </w:r>
      <w:r>
        <w:rPr>
          <w:rFonts w:hint="default" w:ascii="仿宋_GB2312" w:hAnsi="仿宋_GB2312" w:eastAsia="仿宋_GB2312" w:cs="仿宋_GB2312"/>
          <w:sz w:val="32"/>
          <w:szCs w:val="32"/>
          <w:lang w:val="en-US" w:eastAsia="zh-CN"/>
        </w:rPr>
        <w:t>以地定产、以产定肥、缓控结合、一次施用”的原则，</w:t>
      </w:r>
      <w:r>
        <w:rPr>
          <w:rFonts w:hint="eastAsia" w:ascii="仿宋_GB2312" w:hAnsi="仿宋_GB2312" w:eastAsia="仿宋_GB2312" w:cs="仿宋_GB2312"/>
          <w:sz w:val="32"/>
          <w:szCs w:val="32"/>
          <w:lang w:val="en-US" w:eastAsia="zh-CN"/>
        </w:rPr>
        <w:t>旨在将复杂的测土配方施肥技术物化为简便易行的“</w:t>
      </w:r>
      <w:r>
        <w:rPr>
          <w:rFonts w:hint="default" w:ascii="仿宋_GB2312" w:hAnsi="仿宋_GB2312" w:eastAsia="仿宋_GB2312" w:cs="仿宋_GB2312"/>
          <w:sz w:val="32"/>
          <w:szCs w:val="32"/>
          <w:lang w:val="en-US" w:eastAsia="zh-CN"/>
        </w:rPr>
        <w:t>一袋肥、一次施”模式，确保养分供应与</w:t>
      </w:r>
      <w:r>
        <w:rPr>
          <w:rFonts w:hint="eastAsia" w:ascii="仿宋_GB2312" w:hAnsi="仿宋_GB2312" w:eastAsia="仿宋_GB2312" w:cs="仿宋_GB2312"/>
          <w:sz w:val="32"/>
          <w:szCs w:val="32"/>
          <w:lang w:val="en-US" w:eastAsia="zh-CN"/>
        </w:rPr>
        <w:t>大豆玉米复合种植</w:t>
      </w:r>
      <w:r>
        <w:rPr>
          <w:rFonts w:hint="default" w:ascii="仿宋_GB2312" w:hAnsi="仿宋_GB2312" w:eastAsia="仿宋_GB2312" w:cs="仿宋_GB2312"/>
          <w:sz w:val="32"/>
          <w:szCs w:val="32"/>
          <w:lang w:val="en-US" w:eastAsia="zh-CN"/>
        </w:rPr>
        <w:t>全生育期需求同步。</w:t>
      </w:r>
    </w:p>
    <w:p w14:paraId="1FA81A77">
      <w:pPr>
        <w:numPr>
          <w:ilvl w:val="0"/>
          <w:numId w:val="0"/>
        </w:numPr>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2.核心条款说明</w:t>
      </w:r>
    </w:p>
    <w:p w14:paraId="684CCA99">
      <w:pPr>
        <w:numPr>
          <w:ilvl w:val="0"/>
          <w:numId w:val="0"/>
        </w:numPr>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（1）肥料选择</w:t>
      </w:r>
    </w:p>
    <w:p w14:paraId="3C50F489">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本标准明确规定选用缓释肥符合国家或行业标准（GB/T 23348、NY/T 2267、GB21633）的大豆玉米带状复合种植专用缓释型掺混肥。肥料要求上氮素释放期需满足大豆玉米带状复合种植全生育期养分需求，磷、钾及中微量元素配比应符合当地土壤养分状况和作物需肥规律，肥料产品核心是不同释放期缓释尿素+磷钾配伍，一次施用满足全生育期需求。</w:t>
      </w:r>
    </w:p>
    <w:p w14:paraId="7C1CA456">
      <w:pPr>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（2）施肥量</w:t>
      </w:r>
    </w:p>
    <w:p w14:paraId="5D0CA44B">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施肥量的确定是本标准精准化的关键。根据土壤肥力水平、目标产量和大豆、玉米复合种植生长发育对养分的需求规律，基于测土配方施肥海量数据，构建了分区域、分产量水平的推荐施肥量模型。旨在实现“</w:t>
      </w:r>
      <w:r>
        <w:rPr>
          <w:rFonts w:hint="default" w:ascii="仿宋_GB2312" w:hAnsi="仿宋_GB2312" w:eastAsia="仿宋_GB2312" w:cs="仿宋_GB2312"/>
          <w:sz w:val="32"/>
          <w:szCs w:val="32"/>
          <w:lang w:val="en-US" w:eastAsia="zh-CN"/>
        </w:rPr>
        <w:t>以产定量、精准减量”，在保障作物养分需求的同时，提高肥料利用率，减少不合理投入。</w:t>
      </w:r>
    </w:p>
    <w:p w14:paraId="291A2A57">
      <w:pPr>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（3）施肥方法</w:t>
      </w:r>
    </w:p>
    <w:p w14:paraId="2EEA20F5">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明确要求玉米和大豆应分区施肥，采用一体化种肥同播方式，调整种植行比和机播量，机械深施。机械不能满足分区施肥时，采用机械深施</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关键技术参数包括：施肥深度8 cm～10cm；采用种肥同播时，肥料与种子需保持5 cm～8 cm的水平或垂直安全间隔。这些规定旨在确保肥料施用于根系活跃层，同时有效防止烧种烧苗，保障出苗安全与早期养分供应。</w:t>
      </w:r>
    </w:p>
    <w:p w14:paraId="21D5C906">
      <w:pPr>
        <w:numPr>
          <w:ilvl w:val="0"/>
          <w:numId w:val="0"/>
        </w:numPr>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（4）施肥时期</w:t>
      </w:r>
    </w:p>
    <w:p w14:paraId="7E785E1B">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规定所有肥料应在</w:t>
      </w:r>
      <w:r>
        <w:rPr>
          <w:rFonts w:hint="default" w:ascii="仿宋_GB2312" w:hAnsi="仿宋_GB2312" w:eastAsia="仿宋_GB2312" w:cs="仿宋_GB2312"/>
          <w:sz w:val="32"/>
          <w:szCs w:val="32"/>
          <w:lang w:val="en-US" w:eastAsia="zh-CN"/>
        </w:rPr>
        <w:t>播种前整地时或播种时一次性施入，全生育期内不再进行追肥。此举极大地简化了田间作业环节，有效降低了劳动强度和人工成本，适应了规模化生产的需求。</w:t>
      </w:r>
    </w:p>
    <w:p w14:paraId="06BE395E">
      <w:pPr>
        <w:spacing w:line="600" w:lineRule="exact"/>
        <w:ind w:firstLine="643" w:firstLineChars="200"/>
        <w:rPr>
          <w:rFonts w:hint="eastAsia" w:ascii="楷体_GB2312" w:hAnsi="仿宋_GB2312" w:eastAsia="楷体_GB2312" w:cs="仿宋_GB2312"/>
          <w:b/>
          <w:bCs/>
          <w:snapToGrid w:val="0"/>
          <w:color w:val="000000" w:themeColor="text1"/>
          <w:kern w:val="0"/>
          <w:sz w:val="32"/>
          <w:szCs w:val="32"/>
          <w14:textFill>
            <w14:solidFill>
              <w14:schemeClr w14:val="tx1"/>
            </w14:solidFill>
          </w14:textFill>
        </w:rPr>
      </w:pPr>
      <w:r>
        <w:rPr>
          <w:rFonts w:hint="eastAsia" w:ascii="楷体_GB2312" w:hAnsi="仿宋_GB2312" w:eastAsia="楷体_GB2312" w:cs="仿宋_GB2312"/>
          <w:b/>
          <w:bCs/>
          <w:snapToGrid w:val="0"/>
          <w:color w:val="000000" w:themeColor="text1"/>
          <w:kern w:val="0"/>
          <w:sz w:val="32"/>
          <w:szCs w:val="32"/>
          <w14:textFill>
            <w14:solidFill>
              <w14:schemeClr w14:val="tx1"/>
            </w14:solidFill>
          </w14:textFill>
        </w:rPr>
        <w:t>（二）主要技术指标、参数、试验验证的论述</w:t>
      </w:r>
    </w:p>
    <w:p w14:paraId="64F69752">
      <w:pPr>
        <w:pStyle w:val="21"/>
        <w:spacing w:before="156" w:after="156"/>
        <w:ind w:firstLine="643" w:firstLineChars="200"/>
        <w:rPr>
          <w:rFonts w:hint="eastAsia" w:ascii="Times New Roman" w:eastAsia="仿宋_GB2312" w:cs="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1.主要技术指标的确定理论依据。</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施肥量</w:t>
      </w:r>
      <w:r>
        <w:rPr>
          <w:rFonts w:hint="eastAsia" w:ascii="Times New Roman" w:eastAsia="仿宋_GB2312" w:cs="仿宋_GB2312"/>
          <w:color w:val="000000" w:themeColor="text1"/>
          <w:sz w:val="32"/>
          <w:szCs w:val="32"/>
          <w:lang w:val="en-US" w:eastAsia="zh-CN"/>
          <w14:textFill>
            <w14:solidFill>
              <w14:schemeClr w14:val="tx1"/>
            </w14:solidFill>
          </w14:textFill>
        </w:rPr>
        <w:t>指标</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的确定</w:t>
      </w:r>
      <w:r>
        <w:rPr>
          <w:rFonts w:hint="eastAsia" w:ascii="Times New Roman" w:eastAsia="仿宋_GB2312" w:cs="仿宋_GB2312"/>
          <w:color w:val="000000" w:themeColor="text1"/>
          <w:sz w:val="32"/>
          <w:szCs w:val="32"/>
          <w:lang w:val="en-US" w:eastAsia="zh-CN"/>
          <w14:textFill>
            <w14:solidFill>
              <w14:schemeClr w14:val="tx1"/>
            </w14:solidFill>
          </w14:textFill>
        </w:rPr>
        <w:t>，综合应用了</w:t>
      </w:r>
      <w:r>
        <w:rPr>
          <w:rFonts w:hint="eastAsia" w:ascii="Times New Roman" w:hAnsi="Times New Roman" w:eastAsia="仿宋_GB2312" w:cs="仿宋_GB2312"/>
          <w:color w:val="000000" w:themeColor="text1"/>
          <w:sz w:val="32"/>
          <w:szCs w:val="32"/>
          <w14:textFill>
            <w14:solidFill>
              <w14:schemeClr w14:val="tx1"/>
            </w14:solidFill>
          </w14:textFill>
        </w:rPr>
        <w:t>“作物-肥料-土壤”</w:t>
      </w:r>
      <w:r>
        <w:rPr>
          <w:rFonts w:hint="eastAsia" w:ascii="Times New Roman" w:eastAsia="仿宋_GB2312" w:cs="仿宋_GB2312"/>
          <w:color w:val="000000" w:themeColor="text1"/>
          <w:sz w:val="32"/>
          <w:szCs w:val="32"/>
          <w:lang w:val="en-US" w:eastAsia="zh-CN"/>
          <w14:textFill>
            <w14:solidFill>
              <w14:schemeClr w14:val="tx1"/>
            </w14:solidFill>
          </w14:textFill>
        </w:rPr>
        <w:t>系统</w:t>
      </w:r>
      <w:r>
        <w:rPr>
          <w:rFonts w:hint="eastAsia" w:ascii="Times New Roman" w:hAnsi="Times New Roman" w:eastAsia="仿宋_GB2312" w:cs="仿宋_GB2312"/>
          <w:color w:val="000000" w:themeColor="text1"/>
          <w:sz w:val="32"/>
          <w:szCs w:val="32"/>
          <w14:textFill>
            <w14:solidFill>
              <w14:schemeClr w14:val="tx1"/>
            </w14:solidFill>
          </w14:textFill>
        </w:rPr>
        <w:t>养分平衡理论、农作物施肥模型</w:t>
      </w:r>
      <w:r>
        <w:rPr>
          <w:rFonts w:hint="eastAsia" w:ascii="Times New Roman" w:eastAsia="仿宋_GB2312" w:cs="仿宋_GB2312"/>
          <w:color w:val="000000" w:themeColor="text1"/>
          <w:sz w:val="32"/>
          <w:szCs w:val="32"/>
          <w:lang w:val="en-US" w:eastAsia="zh-CN"/>
          <w14:textFill>
            <w14:solidFill>
              <w14:schemeClr w14:val="tx1"/>
            </w14:solidFill>
          </w14:textFill>
        </w:rPr>
        <w:t>及</w:t>
      </w:r>
      <w:r>
        <w:rPr>
          <w:rFonts w:hint="eastAsia" w:ascii="Times New Roman" w:hAnsi="Times New Roman" w:eastAsia="仿宋_GB2312" w:cs="仿宋_GB2312"/>
          <w:color w:val="000000" w:themeColor="text1"/>
          <w:sz w:val="32"/>
          <w:szCs w:val="32"/>
          <w14:textFill>
            <w14:solidFill>
              <w14:schemeClr w14:val="tx1"/>
            </w14:solidFill>
          </w14:textFill>
        </w:rPr>
        <w:t>测土配方施肥大数据</w:t>
      </w:r>
      <w:r>
        <w:rPr>
          <w:rFonts w:hint="eastAsia" w:ascii="Times New Roman" w:eastAsia="仿宋_GB2312" w:cs="仿宋_GB2312"/>
          <w:color w:val="000000" w:themeColor="text1"/>
          <w:sz w:val="32"/>
          <w:szCs w:val="32"/>
          <w:lang w:eastAsia="zh-CN"/>
          <w14:textFill>
            <w14:solidFill>
              <w14:schemeClr w14:val="tx1"/>
            </w14:solidFill>
          </w14:textFill>
        </w:rPr>
        <w:t>。</w:t>
      </w:r>
      <w:r>
        <w:rPr>
          <w:rFonts w:hint="eastAsia" w:ascii="Times New Roman" w:eastAsia="仿宋_GB2312" w:cs="仿宋_GB2312"/>
          <w:color w:val="000000" w:themeColor="text1"/>
          <w:sz w:val="32"/>
          <w:szCs w:val="32"/>
          <w:lang w:val="en-US" w:eastAsia="zh-CN"/>
          <w14:textFill>
            <w14:solidFill>
              <w14:schemeClr w14:val="tx1"/>
            </w14:solidFill>
          </w14:textFill>
        </w:rPr>
        <w:t>核心技术路径如下：</w:t>
      </w:r>
    </w:p>
    <w:p w14:paraId="17F990EA">
      <w:pPr>
        <w:pStyle w:val="21"/>
        <w:spacing w:before="156" w:after="156"/>
        <w:ind w:firstLine="643" w:firstLineChars="200"/>
        <w:rPr>
          <w:rFonts w:hint="eastAsia" w:ascii="Times New Roman" w:eastAsia="仿宋_GB2312" w:cs="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14:textFill>
            <w14:solidFill>
              <w14:schemeClr w14:val="tx1"/>
            </w14:solidFill>
          </w14:textFill>
        </w:rPr>
        <w:t>模型构建</w:t>
      </w:r>
      <w:r>
        <w:rPr>
          <w:rFonts w:hint="default" w:ascii="Times New Roman" w:hAnsi="Times New Roman" w:eastAsia="仿宋_GB2312" w:cs="仿宋_GB2312"/>
          <w:b/>
          <w:bCs/>
          <w:color w:val="000000" w:themeColor="text1"/>
          <w:sz w:val="32"/>
          <w:szCs w:val="32"/>
          <w14:textFill>
            <w14:solidFill>
              <w14:schemeClr w14:val="tx1"/>
            </w14:solidFill>
          </w14:textFill>
        </w:rPr>
        <w:t>：</w:t>
      </w:r>
      <w:r>
        <w:rPr>
          <w:rFonts w:hint="eastAsia" w:ascii="Times New Roman" w:hAnsi="Times New Roman" w:eastAsia="仿宋_GB2312" w:cs="仿宋_GB2312"/>
          <w:color w:val="000000" w:themeColor="text1"/>
          <w:sz w:val="32"/>
          <w:szCs w:val="32"/>
          <w14:textFill>
            <w14:solidFill>
              <w14:schemeClr w14:val="tx1"/>
            </w14:solidFill>
          </w14:textFill>
        </w:rPr>
        <w:t>根据</w:t>
      </w:r>
      <w:r>
        <w:rPr>
          <w:rFonts w:hint="eastAsia" w:ascii="Times New Roman" w:eastAsia="仿宋_GB2312" w:cs="仿宋_GB2312"/>
          <w:color w:val="000000" w:themeColor="text1"/>
          <w:sz w:val="32"/>
          <w:szCs w:val="32"/>
          <w:lang w:val="en-US" w:eastAsia="zh-CN"/>
          <w14:textFill>
            <w14:solidFill>
              <w14:schemeClr w14:val="tx1"/>
            </w14:solidFill>
          </w14:textFill>
        </w:rPr>
        <w:t>大豆玉米带状复合种植</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养分</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需肥</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规律、</w:t>
      </w:r>
      <w:r>
        <w:rPr>
          <w:rFonts w:hint="eastAsia" w:ascii="Times New Roman" w:hAnsi="Times New Roman" w:eastAsia="仿宋_GB2312" w:cs="仿宋_GB2312"/>
          <w:color w:val="000000" w:themeColor="text1"/>
          <w:sz w:val="32"/>
          <w:szCs w:val="32"/>
          <w14:textFill>
            <w14:solidFill>
              <w14:schemeClr w14:val="tx1"/>
            </w14:solidFill>
          </w14:textFill>
        </w:rPr>
        <w:t>土壤供肥特性及</w:t>
      </w:r>
      <w:r>
        <w:rPr>
          <w:rFonts w:hint="eastAsia" w:ascii="Times New Roman" w:eastAsia="仿宋_GB2312" w:cs="仿宋_GB2312"/>
          <w:color w:val="000000" w:themeColor="text1"/>
          <w:sz w:val="32"/>
          <w:szCs w:val="32"/>
          <w:lang w:eastAsia="zh-CN"/>
          <w14:textFill>
            <w14:solidFill>
              <w14:schemeClr w14:val="tx1"/>
            </w14:solidFill>
          </w14:textFill>
        </w:rPr>
        <w:t>缓</w:t>
      </w:r>
      <w:r>
        <w:rPr>
          <w:rFonts w:hint="eastAsia" w:ascii="Times New Roman" w:hAnsi="Times New Roman" w:eastAsia="仿宋_GB2312" w:cs="仿宋_GB2312"/>
          <w:color w:val="000000" w:themeColor="text1"/>
          <w:sz w:val="32"/>
          <w:szCs w:val="32"/>
          <w14:textFill>
            <w14:solidFill>
              <w14:schemeClr w14:val="tx1"/>
            </w14:solidFill>
          </w14:textFill>
        </w:rPr>
        <w:t>释肥料氮素释放特征，构建了施肥决策模型。</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其中，氮肥施用量采用目标产量平衡系数法,</w:t>
      </w:r>
      <w:r>
        <w:rPr>
          <w:rFonts w:hint="eastAsia" w:ascii="Times New Roman" w:hAnsi="Times New Roman" w:eastAsia="仿宋_GB2312" w:cs="仿宋_GB2312"/>
          <w:color w:val="000000" w:themeColor="text1"/>
          <w:sz w:val="32"/>
          <w:szCs w:val="32"/>
          <w:lang w:val="zh-CN" w:eastAsia="zh-CN"/>
          <w14:textFill>
            <w14:solidFill>
              <w14:schemeClr w14:val="tx1"/>
            </w14:solidFill>
          </w14:textFill>
        </w:rPr>
        <w:t>函数</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模型为</w:t>
      </w:r>
      <w:r>
        <w:rPr>
          <w:rFonts w:hint="eastAsia" w:ascii="Times New Roman" w:hAnsi="Times New Roman" w:eastAsia="仿宋_GB2312" w:cs="仿宋_GB2312"/>
          <w:color w:val="000000" w:themeColor="text1"/>
          <w:sz w:val="32"/>
          <w:szCs w:val="32"/>
          <w:lang w:val="zh-CN" w:eastAsia="zh-CN"/>
          <w14:textFill>
            <w14:solidFill>
              <w14:schemeClr w14:val="tx1"/>
            </w14:solidFill>
          </w14:textFill>
        </w:rPr>
        <w:t>：y=Axaebx</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zh-CN"/>
          <w14:textFill>
            <w14:solidFill>
              <w14:schemeClr w14:val="tx1"/>
            </w14:solidFill>
          </w14:textFill>
        </w:rPr>
        <w:t>磷钾肥施用量采用丰缺指标函数法，</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模型为</w:t>
      </w:r>
      <w:r>
        <w:rPr>
          <w:rFonts w:hint="eastAsia" w:ascii="Times New Roman" w:hAnsi="Times New Roman" w:eastAsia="仿宋_GB2312" w:cs="仿宋_GB2312"/>
          <w:color w:val="000000" w:themeColor="text1"/>
          <w:sz w:val="32"/>
          <w:szCs w:val="32"/>
          <w:lang w:val="zh-CN" w:eastAsia="zh-CN"/>
          <w14:textFill>
            <w14:solidFill>
              <w14:schemeClr w14:val="tx1"/>
            </w14:solidFill>
          </w14:textFill>
        </w:rPr>
        <w:t>：y=[A+Bln(xi)]*axb</w:t>
      </w:r>
      <w:r>
        <w:rPr>
          <w:rFonts w:hint="eastAsia" w:ascii="Times New Roman" w:eastAsia="仿宋_GB2312" w:cs="仿宋_GB2312"/>
          <w:color w:val="000000" w:themeColor="text1"/>
          <w:sz w:val="32"/>
          <w:szCs w:val="32"/>
          <w:lang w:val="zh-CN" w:eastAsia="zh-CN"/>
          <w14:textFill>
            <w14:solidFill>
              <w14:schemeClr w14:val="tx1"/>
            </w14:solidFill>
          </w14:textFill>
        </w:rPr>
        <w:t>。</w:t>
      </w:r>
      <w:r>
        <w:rPr>
          <w:rFonts w:hint="eastAsia" w:ascii="Times New Roman" w:eastAsia="仿宋_GB2312" w:cs="仿宋_GB2312"/>
          <w:color w:val="000000" w:themeColor="text1"/>
          <w:sz w:val="32"/>
          <w:szCs w:val="32"/>
          <w:lang w:val="en-US" w:eastAsia="zh-CN"/>
          <w14:textFill>
            <w14:solidFill>
              <w14:schemeClr w14:val="tx1"/>
            </w14:solidFill>
          </w14:textFill>
        </w:rPr>
        <w:t xml:space="preserve">  </w:t>
      </w:r>
    </w:p>
    <w:p w14:paraId="18F749B8">
      <w:pPr>
        <w:pStyle w:val="21"/>
        <w:spacing w:before="156" w:after="156"/>
        <w:ind w:firstLine="643" w:firstLineChars="200"/>
        <w:rPr>
          <w:rFonts w:hint="eastAsia" w:ascii="Times New Roman" w:hAnsi="Times New Roman" w:eastAsia="仿宋_GB2312" w:cs="仿宋_GB2312"/>
          <w:color w:val="000000" w:themeColor="text1"/>
          <w:sz w:val="32"/>
          <w:szCs w:val="32"/>
          <w:lang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参数本地化：</w:t>
      </w:r>
      <w:r>
        <w:rPr>
          <w:rFonts w:hint="eastAsia" w:ascii="Times New Roman" w:hAnsi="Times New Roman" w:eastAsia="仿宋_GB2312" w:cs="仿宋_GB2312"/>
          <w:color w:val="000000" w:themeColor="text1"/>
          <w:sz w:val="32"/>
          <w:szCs w:val="32"/>
          <w14:textFill>
            <w14:solidFill>
              <w14:schemeClr w14:val="tx1"/>
            </w14:solidFill>
          </w14:textFill>
        </w:rPr>
        <w:t>基于宁夏多年土壤</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化验测试</w:t>
      </w:r>
      <w:r>
        <w:rPr>
          <w:rFonts w:hint="eastAsia" w:ascii="Times New Roman" w:hAnsi="Times New Roman" w:eastAsia="仿宋_GB2312" w:cs="仿宋_GB2312"/>
          <w:color w:val="000000" w:themeColor="text1"/>
          <w:sz w:val="32"/>
          <w:szCs w:val="32"/>
          <w14:textFill>
            <w14:solidFill>
              <w14:schemeClr w14:val="tx1"/>
            </w14:solidFill>
          </w14:textFill>
        </w:rPr>
        <w:t>数据</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全区土壤有机质含量平均为13.5mg/kg，属于中等偏下水平，故在施肥方案中首要提出有机肥施用推荐。</w:t>
      </w:r>
      <w:r>
        <w:rPr>
          <w:rFonts w:hint="eastAsia" w:ascii="Times New Roman" w:hAnsi="Times New Roman" w:eastAsia="仿宋_GB2312" w:cs="仿宋_GB2312"/>
          <w:color w:val="000000" w:themeColor="text1"/>
          <w:sz w:val="32"/>
          <w:szCs w:val="32"/>
          <w14:textFill>
            <w14:solidFill>
              <w14:schemeClr w14:val="tx1"/>
            </w14:solidFill>
          </w14:textFill>
        </w:rPr>
        <w:t>引黄灌区土壤普遍缺氮少磷</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全氮含量平均0934 g/kg，有效磷含量为26.7mg/kg）</w:t>
      </w:r>
      <w:r>
        <w:rPr>
          <w:rFonts w:hint="eastAsia" w:ascii="Times New Roman" w:hAnsi="Times New Roman" w:eastAsia="仿宋_GB2312" w:cs="仿宋_GB2312"/>
          <w:color w:val="000000" w:themeColor="text1"/>
          <w:sz w:val="32"/>
          <w:szCs w:val="32"/>
          <w14:textFill>
            <w14:solidFill>
              <w14:schemeClr w14:val="tx1"/>
            </w14:solidFill>
          </w14:textFill>
        </w:rPr>
        <w:t>；宁南山区氮磷俱缺</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全氮含量0.956g/kg，有效磷含量为14.0mg/kg）。</w:t>
      </w:r>
      <w:r>
        <w:rPr>
          <w:rFonts w:hint="eastAsia" w:ascii="Times New Roman" w:hAnsi="Times New Roman" w:eastAsia="仿宋_GB2312" w:cs="仿宋_GB2312"/>
          <w:color w:val="000000" w:themeColor="text1"/>
          <w:sz w:val="32"/>
          <w:szCs w:val="32"/>
          <w14:textFill>
            <w14:solidFill>
              <w14:schemeClr w14:val="tx1"/>
            </w14:solidFill>
          </w14:textFill>
        </w:rPr>
        <w:t>不同生态区气候特点，对模型参数进行本地化校准</w:t>
      </w:r>
      <w:r>
        <w:rPr>
          <w:rFonts w:hint="eastAsia" w:ascii="Times New Roman" w:eastAsia="仿宋_GB2312" w:cs="仿宋_GB2312"/>
          <w:color w:val="000000" w:themeColor="text1"/>
          <w:sz w:val="32"/>
          <w:szCs w:val="32"/>
          <w:lang w:eastAsia="zh-CN"/>
          <w14:textFill>
            <w14:solidFill>
              <w14:schemeClr w14:val="tx1"/>
            </w14:solidFill>
          </w14:textFill>
        </w:rPr>
        <w:t>。</w:t>
      </w:r>
    </w:p>
    <w:p w14:paraId="0B7ECD8E">
      <w:pPr>
        <w:pStyle w:val="21"/>
        <w:spacing w:before="156" w:after="156"/>
        <w:ind w:firstLine="643" w:firstLineChars="200"/>
        <w:rPr>
          <w:rFonts w:hint="eastAsia" w:ascii="Times New Roman" w:hAnsi="Times New Roman" w:eastAsia="仿宋_GB2312" w:cs="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配方用量的确定：</w:t>
      </w:r>
      <w:r>
        <w:rPr>
          <w:rFonts w:hint="eastAsia" w:ascii="Times New Roman" w:hAnsi="Times New Roman" w:eastAsia="仿宋_GB2312" w:cs="仿宋_GB2312"/>
          <w:color w:val="000000" w:themeColor="text1"/>
          <w:sz w:val="32"/>
          <w:szCs w:val="32"/>
          <w14:textFill>
            <w14:solidFill>
              <w14:schemeClr w14:val="tx1"/>
            </w14:solidFill>
          </w14:textFill>
        </w:rPr>
        <w:t>以上述模型和本地化数据为基础，确定了两</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种栽培模式下</w:t>
      </w:r>
      <w:r>
        <w:rPr>
          <w:rFonts w:hint="eastAsia" w:ascii="Times New Roman" w:hAnsi="Times New Roman" w:eastAsia="仿宋_GB2312" w:cs="仿宋_GB2312"/>
          <w:color w:val="000000" w:themeColor="text1"/>
          <w:sz w:val="32"/>
          <w:szCs w:val="32"/>
          <w14:textFill>
            <w14:solidFill>
              <w14:schemeClr w14:val="tx1"/>
            </w14:solidFill>
          </w14:textFill>
        </w:rPr>
        <w:t>的</w:t>
      </w:r>
      <w:r>
        <w:rPr>
          <w:rFonts w:hint="eastAsia" w:ascii="Times New Roman" w:hAnsi="Times New Roman" w:eastAsia="仿宋_GB2312" w:cs="仿宋_GB2312"/>
          <w:color w:val="000000" w:themeColor="text1"/>
          <w:sz w:val="32"/>
          <w:szCs w:val="32"/>
          <w:lang w:eastAsia="zh-CN"/>
          <w14:textFill>
            <w14:solidFill>
              <w14:schemeClr w14:val="tx1"/>
            </w14:solidFill>
          </w14:textFill>
        </w:rPr>
        <w:t>不同区域</w:t>
      </w:r>
      <w:r>
        <w:rPr>
          <w:rFonts w:hint="eastAsia" w:ascii="Times New Roman" w:hAnsi="Times New Roman" w:eastAsia="仿宋_GB2312" w:cs="仿宋_GB2312"/>
          <w:color w:val="000000" w:themeColor="text1"/>
          <w:sz w:val="32"/>
          <w:szCs w:val="32"/>
          <w14:textFill>
            <w14:solidFill>
              <w14:schemeClr w14:val="tx1"/>
            </w14:solidFill>
          </w14:textFill>
        </w:rPr>
        <w:t>主导配方：</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引（扬）黄灌区玉米带状复合种植缓释型</w:t>
      </w:r>
      <w:r>
        <w:rPr>
          <w:rFonts w:hint="default" w:ascii="Times New Roman" w:hAnsi="Times New Roman" w:eastAsia="仿宋_GB2312" w:cs="仿宋_GB2312"/>
          <w:color w:val="000000" w:themeColor="text1"/>
          <w:sz w:val="32"/>
          <w:szCs w:val="32"/>
          <w14:textFill>
            <w14:solidFill>
              <w14:schemeClr w14:val="tx1"/>
            </w14:solidFill>
          </w14:textFill>
        </w:rPr>
        <w:t>配方</w:t>
      </w:r>
      <w:r>
        <w:rPr>
          <w:rFonts w:hint="eastAsia" w:ascii="Times New Roman" w:hAnsi="Times New Roman" w:eastAsia="仿宋_GB2312" w:cs="仿宋_GB2312"/>
          <w:color w:val="000000" w:themeColor="text1"/>
          <w:sz w:val="32"/>
          <w:szCs w:val="32"/>
          <w14:textFill>
            <w14:solidFill>
              <w14:schemeClr w14:val="tx1"/>
            </w14:solidFill>
          </w14:textFill>
        </w:rPr>
        <w:t>47%（30-12-5）</w:t>
      </w:r>
      <w:r>
        <w:rPr>
          <w:rFonts w:hint="default" w:ascii="Times New Roman" w:hAnsi="Times New Roman" w:eastAsia="仿宋_GB2312" w:cs="仿宋_GB2312"/>
          <w:color w:val="000000" w:themeColor="text1"/>
          <w:sz w:val="32"/>
          <w:szCs w:val="32"/>
          <w14:textFill>
            <w14:solidFill>
              <w14:schemeClr w14:val="tx1"/>
            </w14:solidFill>
          </w14:textFill>
        </w:rPr>
        <w:t>，</w:t>
      </w:r>
      <w:r>
        <w:rPr>
          <w:rFonts w:hint="eastAsia" w:ascii="Times New Roman" w:hAnsi="Times New Roman" w:eastAsia="仿宋_GB2312" w:cs="仿宋_GB2312"/>
          <w:color w:val="000000" w:themeColor="text1"/>
          <w:sz w:val="32"/>
          <w:szCs w:val="32"/>
          <w14:textFill>
            <w14:solidFill>
              <w14:schemeClr w14:val="tx1"/>
            </w14:solidFill>
          </w14:textFill>
        </w:rPr>
        <w:t>大豆缓释型配方肥55%（21-24-10）</w:t>
      </w:r>
      <w:r>
        <w:rPr>
          <w:rFonts w:hint="eastAsia" w:ascii="Times New Roman" w:hAnsi="Times New Roman" w:eastAsia="仿宋_GB2312" w:cs="仿宋_GB2312"/>
          <w:color w:val="000000" w:themeColor="text1"/>
          <w:sz w:val="32"/>
          <w:szCs w:val="32"/>
          <w:lang w:eastAsia="zh-CN"/>
          <w14:textFill>
            <w14:solidFill>
              <w14:schemeClr w14:val="tx1"/>
            </w14:solidFill>
          </w14:textFill>
        </w:rPr>
        <w:t>。宁南山区</w:t>
      </w:r>
      <w:r>
        <w:rPr>
          <w:rFonts w:hint="eastAsia" w:ascii="Times New Roman" w:hAnsi="Times New Roman" w:eastAsia="仿宋_GB2312" w:cs="仿宋_GB2312"/>
          <w:color w:val="000000" w:themeColor="text1"/>
          <w:sz w:val="32"/>
          <w:szCs w:val="32"/>
          <w14:textFill>
            <w14:solidFill>
              <w14:schemeClr w14:val="tx1"/>
            </w14:solidFill>
          </w14:textFill>
        </w:rPr>
        <w:t>玉米缓释型配方肥50%（30-15-5）</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14:textFill>
            <w14:solidFill>
              <w14:schemeClr w14:val="tx1"/>
            </w14:solidFill>
          </w14:textFill>
        </w:rPr>
        <w:t>大豆缓释型配方肥54%（20-24-10）</w:t>
      </w:r>
      <w:r>
        <w:rPr>
          <w:rFonts w:hint="default" w:ascii="Times New Roman" w:hAnsi="Times New Roman" w:eastAsia="仿宋_GB2312" w:cs="仿宋_GB2312"/>
          <w:color w:val="000000" w:themeColor="text1"/>
          <w:sz w:val="32"/>
          <w:szCs w:val="32"/>
          <w14:textFill>
            <w14:solidFill>
              <w14:schemeClr w14:val="tx1"/>
            </w14:solidFill>
          </w14:textFill>
        </w:rPr>
        <w:t>。并进一步根据目标产量分级，制定了具体的推荐施肥量范围，实现了从理论到可执行标准的转化。</w:t>
      </w:r>
    </w:p>
    <w:p w14:paraId="59644B38">
      <w:pPr>
        <w:pStyle w:val="21"/>
        <w:spacing w:before="156" w:after="156"/>
        <w:ind w:firstLine="643" w:firstLineChars="200"/>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2.试验验证</w:t>
      </w:r>
    </w:p>
    <w:p w14:paraId="6BDD1D26">
      <w:pPr>
        <w:pStyle w:val="21"/>
        <w:spacing w:before="156" w:after="156"/>
        <w:ind w:firstLine="643" w:firstLineChars="200"/>
        <w:rPr>
          <w:rFonts w:hint="eastAsia" w:ascii="Times New Roman" w:eastAsia="仿宋_GB2312" w:cs="仿宋_GB2312"/>
          <w:color w:val="000000" w:themeColor="text1"/>
          <w:sz w:val="32"/>
          <w:szCs w:val="32"/>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（1）引（扬）黄灌区试验验证：</w:t>
      </w:r>
      <w:r>
        <w:rPr>
          <w:rFonts w:hint="eastAsia" w:ascii="Times New Roman" w:eastAsia="仿宋_GB2312" w:cs="仿宋_GB2312"/>
          <w:b/>
          <w:bCs/>
          <w:color w:val="000000" w:themeColor="text1"/>
          <w:sz w:val="32"/>
          <w:szCs w:val="32"/>
          <w:lang w:val="en-US" w:eastAsia="zh-CN"/>
          <w14:textFill>
            <w14:solidFill>
              <w14:schemeClr w14:val="tx1"/>
            </w14:solidFill>
          </w14:textFill>
        </w:rPr>
        <w:t>2023年</w:t>
      </w:r>
      <w:r>
        <w:rPr>
          <w:rFonts w:hint="default" w:ascii="Times New Roman" w:hAnsi="Times New Roman" w:eastAsia="仿宋_GB2312" w:cs="仿宋_GB2312"/>
          <w:color w:val="000000" w:themeColor="text1"/>
          <w:sz w:val="32"/>
          <w:szCs w:val="32"/>
          <w14:textFill>
            <w14:solidFill>
              <w14:schemeClr w14:val="tx1"/>
            </w14:solidFill>
          </w14:textFill>
        </w:rPr>
        <w:t>在</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西夏区和中宁县</w:t>
      </w:r>
      <w:r>
        <w:rPr>
          <w:rFonts w:hint="default" w:ascii="Times New Roman" w:hAnsi="Times New Roman" w:eastAsia="仿宋_GB2312" w:cs="仿宋_GB2312"/>
          <w:color w:val="000000" w:themeColor="text1"/>
          <w:sz w:val="32"/>
          <w:szCs w:val="32"/>
          <w14:textFill>
            <w14:solidFill>
              <w14:schemeClr w14:val="tx1"/>
            </w14:solidFill>
          </w14:textFill>
        </w:rPr>
        <w:t>等地设置多点田间试验。</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受试玉米</w:t>
      </w:r>
      <w:r>
        <w:rPr>
          <w:rFonts w:hint="eastAsia" w:ascii="Times New Roman" w:eastAsia="仿宋_GB2312" w:cs="仿宋_GB2312"/>
          <w:color w:val="000000" w:themeColor="text1"/>
          <w:sz w:val="32"/>
          <w:szCs w:val="32"/>
          <w:lang w:val="en-US" w:eastAsia="zh-CN"/>
          <w14:textFill>
            <w14:solidFill>
              <w14:schemeClr w14:val="tx1"/>
            </w14:solidFill>
          </w14:textFill>
        </w:rPr>
        <w:t>缓</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释</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肥</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料配方为57%(30-12-5)、大豆</w:t>
      </w:r>
      <w:r>
        <w:rPr>
          <w:rFonts w:hint="eastAsia" w:ascii="Times New Roman" w:eastAsia="仿宋_GB2312" w:cs="仿宋_GB2312"/>
          <w:color w:val="000000" w:themeColor="text1"/>
          <w:sz w:val="32"/>
          <w:szCs w:val="32"/>
          <w:lang w:val="en-US" w:eastAsia="zh-CN"/>
          <w14:textFill>
            <w14:solidFill>
              <w14:schemeClr w14:val="tx1"/>
            </w14:solidFill>
          </w14:textFill>
        </w:rPr>
        <w:t>缓</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释</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肥</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料配方为55%(21-24-10)</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重复3次，小区面积90-1</w:t>
      </w:r>
      <w:r>
        <w:rPr>
          <w:rFonts w:hint="eastAsia" w:ascii="Times New Roman" w:eastAsia="仿宋_GB2312" w:cs="仿宋_GB2312"/>
          <w:color w:val="000000" w:themeColor="text1"/>
          <w:sz w:val="32"/>
          <w:szCs w:val="32"/>
          <w:lang w:val="en-US" w:eastAsia="zh-CN"/>
          <w14:textFill>
            <w14:solidFill>
              <w14:schemeClr w14:val="tx1"/>
            </w14:solidFill>
          </w14:textFill>
        </w:rPr>
        <w:t>2</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0㎡，随机排列，缓释肥料采用撒后旋耕方式作基肥一次性施用。</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西夏区种植模式为</w:t>
      </w:r>
      <w:r>
        <w:rPr>
          <w:rFonts w:hint="eastAsia" w:ascii="Times New Roman" w:eastAsia="仿宋_GB2312" w:cs="仿宋_GB2312"/>
          <w:color w:val="000000" w:themeColor="text1"/>
          <w:sz w:val="32"/>
          <w:szCs w:val="32"/>
          <w:lang w:val="en-US" w:eastAsia="zh-CN"/>
          <w14:textFill>
            <w14:solidFill>
              <w14:schemeClr w14:val="tx1"/>
            </w14:solidFill>
          </w14:textFill>
        </w:rPr>
        <w:t>玉豆行比</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4:3</w:t>
      </w:r>
      <w:r>
        <w:rPr>
          <w:rFonts w:hint="eastAsia" w:ascii="Times New Roman" w:eastAsia="仿宋_GB2312" w:cs="仿宋_GB2312"/>
          <w:color w:val="000000" w:themeColor="text1"/>
          <w:sz w:val="32"/>
          <w:szCs w:val="32"/>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试验设</w:t>
      </w:r>
      <w:r>
        <w:rPr>
          <w:rFonts w:hint="eastAsia" w:ascii="Times New Roman" w:eastAsia="仿宋_GB2312" w:cs="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个</w:t>
      </w:r>
      <w:r>
        <w:rPr>
          <w:rFonts w:hint="eastAsia" w:ascii="Times New Roman" w:eastAsia="仿宋_GB2312" w:cs="仿宋_GB2312"/>
          <w:color w:val="000000" w:themeColor="text1"/>
          <w:sz w:val="32"/>
          <w:szCs w:val="32"/>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处理1：玉米</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80</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kg/亩，大豆</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20</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kg/亩；处理</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2:</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玉米</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72</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kg/亩，大豆</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12</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kg/亩；处理3</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玉米</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基施64kg/亩，大豆</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基施6kg/亩；处理4：玉米</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基施56kg/亩，大豆不施肥</w:t>
      </w:r>
      <w:r>
        <w:rPr>
          <w:rFonts w:hint="eastAsia" w:ascii="Times New Roman" w:eastAsia="仿宋_GB2312" w:cs="仿宋_GB2312"/>
          <w:color w:val="000000" w:themeColor="text1"/>
          <w:sz w:val="32"/>
          <w:szCs w:val="32"/>
          <w:lang w:val="en-US" w:eastAsia="zh-CN"/>
          <w14:textFill>
            <w14:solidFill>
              <w14:schemeClr w14:val="tx1"/>
            </w14:solidFill>
          </w14:textFill>
        </w:rPr>
        <w:t>；处理5：玉米大豆均不施肥</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空白)</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仿宋_GB2312"/>
          <w:color w:val="000000" w:themeColor="text1"/>
          <w:sz w:val="32"/>
          <w:szCs w:val="32"/>
          <w:highlight w:val="none"/>
          <w:lang w:val="en-US" w:eastAsia="zh-CN"/>
          <w14:textFill>
            <w14:solidFill>
              <w14:schemeClr w14:val="tx1"/>
            </w14:solidFill>
          </w14:textFill>
        </w:rPr>
        <w:t>中宁县种植模式为</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玉豆行比</w:t>
      </w:r>
      <w:r>
        <w:rPr>
          <w:rFonts w:hint="default" w:ascii="Times New Roman" w:hAnsi="Times New Roman" w:eastAsia="仿宋_GB2312" w:cs="仿宋_GB2312"/>
          <w:color w:val="000000" w:themeColor="text1"/>
          <w:sz w:val="32"/>
          <w:szCs w:val="32"/>
          <w:highlight w:val="none"/>
          <w:lang w:val="en-US" w:eastAsia="zh-CN"/>
          <w14:textFill>
            <w14:solidFill>
              <w14:schemeClr w14:val="tx1"/>
            </w14:solidFill>
          </w14:textFill>
        </w:rPr>
        <w:t>4:3和</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玉豆行比</w:t>
      </w:r>
      <w:r>
        <w:rPr>
          <w:rFonts w:hint="default" w:ascii="Times New Roman" w:hAnsi="Times New Roman" w:eastAsia="仿宋_GB2312" w:cs="仿宋_GB2312"/>
          <w:color w:val="000000" w:themeColor="text1"/>
          <w:sz w:val="32"/>
          <w:szCs w:val="32"/>
          <w:highlight w:val="none"/>
          <w:lang w:val="en-US" w:eastAsia="zh-CN"/>
          <w14:textFill>
            <w14:solidFill>
              <w14:schemeClr w14:val="tx1"/>
            </w14:solidFill>
          </w14:textFill>
        </w:rPr>
        <w:t>4:4两种模式</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试验设</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5</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个</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处理，</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处理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1</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：玉米</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基施</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65</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kg/亩，大豆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基施</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11</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kg/亩；处理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2</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：玉米</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基施</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55</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kg/亩，大豆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基施</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7</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kg/亩；处理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3</w:t>
      </w:r>
      <w:r>
        <w:rPr>
          <w:rFonts w:hint="default" w:ascii="Times New Roman" w:hAnsi="Times New Roman" w:eastAsia="仿宋_GB2312" w:cs="仿宋_GB2312"/>
          <w:color w:val="000000" w:themeColor="text1"/>
          <w:sz w:val="32"/>
          <w:szCs w:val="32"/>
          <w:highlight w:val="none"/>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玉米</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基施</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46</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kg/亩，大豆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基施</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3</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kg/亩；处理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仿宋_GB2312"/>
          <w:color w:val="000000" w:themeColor="text1"/>
          <w:sz w:val="32"/>
          <w:szCs w:val="32"/>
          <w:highlight w:val="none"/>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玉米</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基施</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42</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kg/亩，大豆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基施大豆不施肥</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；处理5：玉米大豆均不施肥</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(空白)</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w:t>
      </w:r>
    </w:p>
    <w:p w14:paraId="689D0074">
      <w:pPr>
        <w:pStyle w:val="21"/>
        <w:spacing w:before="156" w:after="156"/>
        <w:ind w:firstLine="640" w:firstLineChars="200"/>
        <w:rPr>
          <w:rFonts w:hint="default" w:ascii="Times New Roman" w:hAnsi="Times New Roman" w:eastAsia="仿宋_GB2312" w:cs="仿宋_GB2312"/>
          <w:color w:val="000000" w:themeColor="text1"/>
          <w:sz w:val="32"/>
          <w:szCs w:val="32"/>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通过对</w:t>
      </w:r>
      <w:r>
        <w:rPr>
          <w:rFonts w:hint="eastAsia" w:ascii="Times New Roman" w:eastAsia="仿宋_GB2312" w:cs="仿宋_GB2312"/>
          <w:color w:val="000000" w:themeColor="text1"/>
          <w:sz w:val="32"/>
          <w:szCs w:val="32"/>
          <w:lang w:val="en-US" w:eastAsia="zh-CN"/>
          <w14:textFill>
            <w14:solidFill>
              <w14:schemeClr w14:val="tx1"/>
            </w14:solidFill>
          </w14:textFill>
        </w:rPr>
        <w:t>2</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个试验点</w:t>
      </w:r>
      <w:r>
        <w:rPr>
          <w:rFonts w:hint="eastAsia" w:ascii="Times New Roman" w:eastAsia="仿宋_GB2312" w:cs="仿宋_GB2312"/>
          <w:color w:val="000000" w:themeColor="text1"/>
          <w:sz w:val="32"/>
          <w:szCs w:val="32"/>
          <w:lang w:val="en-US" w:eastAsia="zh-CN"/>
          <w14:textFill>
            <w14:solidFill>
              <w14:schemeClr w14:val="tx1"/>
            </w14:solidFill>
          </w14:textFill>
        </w:rPr>
        <w:t>3个不同模式</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的大豆玉米带状复合种植出苗率</w:t>
      </w:r>
      <w:r>
        <w:rPr>
          <w:rFonts w:hint="eastAsia" w:ascii="Times New Roman" w:eastAsia="仿宋_GB2312" w:cs="仿宋_GB2312"/>
          <w:color w:val="000000" w:themeColor="text1"/>
          <w:sz w:val="32"/>
          <w:szCs w:val="32"/>
          <w:lang w:val="en-US" w:eastAsia="zh-CN"/>
          <w14:textFill>
            <w14:solidFill>
              <w14:schemeClr w14:val="tx1"/>
            </w14:solidFill>
          </w14:textFill>
        </w:rPr>
        <w:t>及生育期</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监测显示：</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各点缓释肥处理</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出苗率均在9</w:t>
      </w:r>
      <w:r>
        <w:rPr>
          <w:rFonts w:hint="eastAsia" w:ascii="Times New Roman" w:eastAsia="仿宋_GB2312" w:cs="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%以上，</w:t>
      </w:r>
      <w:r>
        <w:rPr>
          <w:rFonts w:hint="eastAsia" w:ascii="Times New Roman" w:eastAsia="仿宋_GB2312" w:cs="仿宋_GB2312"/>
          <w:color w:val="000000" w:themeColor="text1"/>
          <w:sz w:val="32"/>
          <w:szCs w:val="32"/>
          <w:lang w:val="en-US" w:eastAsia="zh-CN"/>
          <w14:textFill>
            <w14:solidFill>
              <w14:schemeClr w14:val="tx1"/>
            </w14:solidFill>
          </w14:textFill>
        </w:rPr>
        <w:t>生育期较空白对照延长2-3天，</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eastAsia="仿宋_GB2312" w:cs="仿宋_GB2312"/>
          <w:color w:val="000000" w:themeColor="text1"/>
          <w:sz w:val="32"/>
          <w:szCs w:val="32"/>
          <w:lang w:val="en-US" w:eastAsia="zh-CN"/>
          <w14:textFill>
            <w14:solidFill>
              <w14:schemeClr w14:val="tx1"/>
            </w14:solidFill>
          </w14:textFill>
        </w:rPr>
        <w:t>基施</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安全性良好</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。产量结果表明：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①</w:t>
      </w:r>
      <w:r>
        <w:rPr>
          <w:rFonts w:hint="eastAsia" w:ascii="Times New Roman" w:eastAsia="仿宋_GB2312" w:cs="仿宋_GB2312"/>
          <w:color w:val="000000" w:themeColor="text1"/>
          <w:sz w:val="32"/>
          <w:szCs w:val="32"/>
          <w:lang w:val="en-US" w:eastAsia="zh-CN"/>
          <w14:textFill>
            <w14:solidFill>
              <w14:schemeClr w14:val="tx1"/>
            </w14:solidFill>
          </w14:textFill>
        </w:rPr>
        <w:t>西夏区</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试验点各处理</w:t>
      </w:r>
      <w:r>
        <w:rPr>
          <w:rFonts w:hint="eastAsia" w:ascii="Times New Roman" w:eastAsia="仿宋_GB2312" w:cs="仿宋_GB2312"/>
          <w:color w:val="000000" w:themeColor="text1"/>
          <w:sz w:val="32"/>
          <w:szCs w:val="32"/>
          <w:lang w:val="en-US" w:eastAsia="zh-CN"/>
          <w14:textFill>
            <w14:solidFill>
              <w14:schemeClr w14:val="tx1"/>
            </w14:solidFill>
          </w14:textFill>
        </w:rPr>
        <w:t>玉米产量分别为：</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682.08kg/亩、730.07kg/亩、669.93kg/亩、690.62kg/亩、463kg/亩，大豆产量分别为：91.3kg/亩、90.5kg/亩、55.8kg/亩、33.2kg/亩、29.6kg/亩，产量</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差异达显著水平</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处理2玉米实际产量730.07kg/亩，缓释肥施用量72kg/亩，大豆实际产量90.5kg/亩，缓释肥施用量12kg/亩，经济效益最明显，较空白对照玉米、大豆产量分别提高267kg/亩、60.9kg/亩。验证了在玉米800kg/亩、大豆100kg/亩目标产量下，推荐玉米缓释肥施用量72~76kg/亩和大豆缓释肥施肥量12~15kg/亩可行性。</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②</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中宁</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县试验点</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4：3模式下</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各处理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玉米产量分别为：550.7kg/亩、599.5kg/亩、544.8kg/亩、507.5kg/亩、455.7kg/亩，大豆产量分别为：34.05kg/亩、40.09kg/亩、33.08kg/亩、32.83kg/亩、30.1kg/亩，产量差异显著，处理2玉米实际产量599.5kg/亩，缓释肥施用量55kg/亩，大豆实际产量40.09kg/亩，缓释肥施用量7kg/亩，产量都比其他处理显著增加，比空白对照玉米、大豆分别增加143.8kg/亩、9.99kg/亩。验证了在玉米600kg/亩、大豆50kg/亩目标产量下，推荐玉米缓释肥施用量54~57kg/亩和大豆缓释肥施肥量6~7.5kg/亩可行性。</w:t>
      </w:r>
      <w:r>
        <w:rPr>
          <w:rFonts w:hint="eastAsia" w:ascii="仿宋" w:hAnsi="仿宋" w:eastAsia="仿宋" w:cs="仿宋"/>
          <w:color w:val="000000" w:themeColor="text1"/>
          <w:sz w:val="32"/>
          <w:szCs w:val="32"/>
          <w:highlight w:val="none"/>
          <w:lang w:val="en-US" w:eastAsia="zh-CN"/>
          <w14:textFill>
            <w14:solidFill>
              <w14:schemeClr w14:val="tx1"/>
            </w14:solidFill>
          </w14:textFill>
        </w:rPr>
        <w:t>③</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中宁</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县试验点</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4：4模式下</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各</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处理</w:t>
      </w:r>
      <w:r>
        <w:rPr>
          <w:rFonts w:hint="eastAsia" w:ascii="Times New Roman" w:eastAsia="仿宋_GB2312" w:cs="仿宋_GB2312"/>
          <w:color w:val="000000" w:themeColor="text1"/>
          <w:sz w:val="32"/>
          <w:szCs w:val="32"/>
          <w:lang w:val="en-US" w:eastAsia="zh-CN"/>
          <w14:textFill>
            <w14:solidFill>
              <w14:schemeClr w14:val="tx1"/>
            </w14:solidFill>
          </w14:textFill>
        </w:rPr>
        <w:t>玉米产量</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分别为：474kg/亩、596.9kg/亩、517.2kg/亩、420.3kg/亩、446.9kg/亩，大豆产量分别为：35.7kg/亩、42.4kg/亩、34.3kg/亩、33.7kg/亩、31.8kg/亩，产量差异显著，处理2玉米实际产量517.2kg/亩，缓释肥施用量55kg/亩，大豆实际产量42.4kg/亩，缓释肥施用量7kg/亩，产量都比其他处理显著增加，比空白对照玉米、大豆分别增加150.8kg/亩、10.6kg/亩。验证了在玉米600kg/亩、大豆50kg目标产量下，推荐玉米缓释肥施用量54~57kg/亩和大豆缓释肥施肥量6~7.5kg/亩可行性。</w:t>
      </w:r>
    </w:p>
    <w:p w14:paraId="42F290BC">
      <w:pPr>
        <w:keepNext w:val="0"/>
        <w:keepLines w:val="0"/>
        <w:widowControl/>
        <w:suppressLineNumbers w:val="0"/>
        <w:ind w:firstLine="643" w:firstLineChars="200"/>
        <w:jc w:val="left"/>
        <w:rPr>
          <w:rFonts w:hint="eastAsia" w:ascii="Times New Roman" w:hAnsi="Times New Roman"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kern w:val="0"/>
          <w:sz w:val="32"/>
          <w:szCs w:val="32"/>
          <w:lang w:val="en-US" w:eastAsia="zh-CN" w:bidi="ar-SA"/>
        </w:rPr>
        <w:t>宁南山区试验验证：</w:t>
      </w:r>
      <w:r>
        <w:rPr>
          <w:rFonts w:hint="eastAsia" w:ascii="Times New Roman" w:hAnsi="Times New Roman" w:eastAsia="仿宋_GB2312" w:cs="仿宋_GB2312"/>
          <w:color w:val="000000" w:themeColor="text1"/>
          <w:kern w:val="0"/>
          <w:sz w:val="32"/>
          <w:szCs w:val="32"/>
          <w:lang w:val="en-US" w:eastAsia="zh-CN" w:bidi="ar-SA"/>
          <w14:textFill>
            <w14:solidFill>
              <w14:schemeClr w14:val="tx1"/>
            </w14:solidFill>
          </w14:textFill>
        </w:rPr>
        <w:t>2023年在固原市原州区</w:t>
      </w:r>
      <w:r>
        <w:rPr>
          <w:rFonts w:hint="eastAsia" w:ascii="仿宋_GB2312" w:hAnsi="仿宋_GB2312" w:eastAsia="仿宋_GB2312" w:cs="仿宋_GB2312"/>
          <w:sz w:val="32"/>
          <w:szCs w:val="32"/>
          <w:lang w:val="en-US" w:eastAsia="zh-CN"/>
        </w:rPr>
        <w:t>彭堡镇彭堡村新星土地股份土地专业合作社</w:t>
      </w:r>
      <w:r>
        <w:rPr>
          <w:rFonts w:hint="eastAsia" w:ascii="Times New Roman" w:hAnsi="Times New Roman" w:eastAsia="仿宋_GB2312" w:cs="仿宋_GB2312"/>
          <w:color w:val="000000" w:themeColor="text1"/>
          <w:kern w:val="0"/>
          <w:sz w:val="32"/>
          <w:szCs w:val="32"/>
          <w:lang w:val="en-US" w:eastAsia="zh-CN" w:bidi="ar-SA"/>
          <w14:textFill>
            <w14:solidFill>
              <w14:schemeClr w14:val="tx1"/>
            </w14:solidFill>
          </w14:textFill>
        </w:rPr>
        <w:t>和彭阳县</w:t>
      </w:r>
      <w:r>
        <w:rPr>
          <w:rFonts w:hint="eastAsia" w:eastAsia="仿宋_GB2312"/>
          <w:bCs/>
          <w:sz w:val="28"/>
          <w:szCs w:val="28"/>
        </w:rPr>
        <w:t>孟塬乡双树村残塬</w:t>
      </w:r>
      <w:r>
        <w:rPr>
          <w:rFonts w:hint="eastAsia" w:ascii="Times New Roman" w:hAnsi="Times New Roman" w:eastAsia="仿宋_GB2312" w:cs="仿宋_GB2312"/>
          <w:color w:val="000000" w:themeColor="text1"/>
          <w:kern w:val="0"/>
          <w:sz w:val="32"/>
          <w:szCs w:val="32"/>
          <w:lang w:val="en-US" w:eastAsia="zh-CN" w:bidi="ar-SA"/>
          <w14:textFill>
            <w14:solidFill>
              <w14:schemeClr w14:val="tx1"/>
            </w14:solidFill>
          </w14:textFill>
        </w:rPr>
        <w:t>开展缓释肥效果试验验证。</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受试玉米缓释</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肥</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料配方为50%(30-15-5)、大豆缓释</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肥</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料配方为54%(20-24-10)</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重复3次，小区面积86-176㎡，随机排列，缓释肥料采用撒后旋耕方式作基肥一次性施用。原州区</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种植模式为</w:t>
      </w:r>
      <w:r>
        <w:rPr>
          <w:rFonts w:hint="eastAsia" w:ascii="Times New Roman" w:eastAsia="仿宋_GB2312" w:cs="仿宋_GB2312"/>
          <w:color w:val="000000" w:themeColor="text1"/>
          <w:sz w:val="32"/>
          <w:szCs w:val="32"/>
          <w:lang w:val="en-US" w:eastAsia="zh-CN"/>
          <w14:textFill>
            <w14:solidFill>
              <w14:schemeClr w14:val="tx1"/>
            </w14:solidFill>
          </w14:textFill>
        </w:rPr>
        <w:t>玉豆行比</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2</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:3</w:t>
      </w:r>
      <w:r>
        <w:rPr>
          <w:rFonts w:hint="eastAsia" w:ascii="Times New Roman" w:eastAsia="仿宋_GB2312" w:cs="仿宋_GB2312"/>
          <w:color w:val="000000" w:themeColor="text1"/>
          <w:sz w:val="32"/>
          <w:szCs w:val="32"/>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试验设</w:t>
      </w:r>
      <w:r>
        <w:rPr>
          <w:rFonts w:hint="eastAsia" w:ascii="Times New Roman" w:eastAsia="仿宋_GB2312" w:cs="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个处理，每处理重复3次</w:t>
      </w:r>
      <w:r>
        <w:rPr>
          <w:rFonts w:hint="eastAsia" w:ascii="Times New Roman" w:eastAsia="仿宋_GB2312" w:cs="仿宋_GB2312"/>
          <w:color w:val="000000" w:themeColor="text1"/>
          <w:sz w:val="32"/>
          <w:szCs w:val="32"/>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处理1：玉米</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基施75kg/亩，大豆</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基施24kg/亩；处理</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2:</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玉米</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基施64kg/亩，大豆</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1</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6kg/亩；处理3</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玉米</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基施54kg/亩，大豆</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基施13kg/亩；处理4：玉米</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基施45kg/亩，大豆</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基施9kg/亩</w:t>
      </w:r>
      <w:r>
        <w:rPr>
          <w:rFonts w:hint="eastAsia" w:ascii="Times New Roman" w:eastAsia="仿宋_GB2312" w:cs="仿宋_GB2312"/>
          <w:color w:val="000000" w:themeColor="text1"/>
          <w:sz w:val="32"/>
          <w:szCs w:val="32"/>
          <w:lang w:val="en-US" w:eastAsia="zh-CN"/>
          <w14:textFill>
            <w14:solidFill>
              <w14:schemeClr w14:val="tx1"/>
            </w14:solidFill>
          </w14:textFill>
        </w:rPr>
        <w:t>；处理5：玉米大豆均不施肥</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(空白)</w:t>
      </w:r>
      <w:r>
        <w:rPr>
          <w:rFonts w:hint="eastAsia" w:ascii="Times New Roman" w:eastAsia="仿宋_GB2312" w:cs="仿宋_GB2312"/>
          <w:color w:val="000000" w:themeColor="text1"/>
          <w:sz w:val="32"/>
          <w:szCs w:val="32"/>
          <w:lang w:val="en-US" w:eastAsia="zh-CN"/>
          <w14:textFill>
            <w14:solidFill>
              <w14:schemeClr w14:val="tx1"/>
            </w14:solidFill>
          </w14:textFill>
        </w:rPr>
        <w:t>。彭阳县试验点种植模式为玉豆行</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比4:3、4:4、2:3，</w:t>
      </w:r>
      <w:r>
        <w:rPr>
          <w:rFonts w:hint="eastAsia" w:ascii="Times New Roman" w:hAnsi="Times New Roman" w:eastAsia="仿宋_GB2312" w:cs="仿宋_GB2312"/>
          <w:color w:val="000000" w:themeColor="text1"/>
          <w:kern w:val="0"/>
          <w:sz w:val="32"/>
          <w:szCs w:val="32"/>
          <w:lang w:val="en-US" w:eastAsia="zh-CN" w:bidi="ar-SA"/>
          <w14:textFill>
            <w14:solidFill>
              <w14:schemeClr w14:val="tx1"/>
            </w14:solidFill>
          </w14:textFill>
        </w:rPr>
        <w:t>试验设5个处理，</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每处理重复3次</w:t>
      </w:r>
      <w:r>
        <w:rPr>
          <w:rFonts w:hint="eastAsia" w:ascii="Times New Roman" w:hAnsi="Times New Roman" w:eastAsia="仿宋_GB2312" w:cs="仿宋_GB2312"/>
          <w:color w:val="000000" w:themeColor="text1"/>
          <w:kern w:val="0"/>
          <w:sz w:val="32"/>
          <w:szCs w:val="32"/>
          <w:lang w:val="en-US" w:eastAsia="zh-CN" w:bidi="ar-SA"/>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处理1：玉米</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基施60kg/亩，大豆</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基施17kg/亩；处理</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2:</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玉米</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基施55kg/亩，大豆</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基施12kg/亩；处理3</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玉米</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基施50kg/亩，大豆</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基施6kg/亩；处理4：玉米</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基施44kg/亩，大豆</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基施0kg/亩</w:t>
      </w:r>
      <w:r>
        <w:rPr>
          <w:rFonts w:hint="eastAsia" w:ascii="Times New Roman" w:eastAsia="仿宋_GB2312" w:cs="仿宋_GB2312"/>
          <w:color w:val="000000" w:themeColor="text1"/>
          <w:sz w:val="32"/>
          <w:szCs w:val="32"/>
          <w:lang w:val="en-US" w:eastAsia="zh-CN"/>
          <w14:textFill>
            <w14:solidFill>
              <w14:schemeClr w14:val="tx1"/>
            </w14:solidFill>
          </w14:textFill>
        </w:rPr>
        <w:t>；处理5：</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玉米</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基施55kg/亩，大豆</w:t>
      </w:r>
      <w:r>
        <w:rPr>
          <w:rFonts w:hint="eastAsia" w:ascii="Times New Roman" w:eastAsia="仿宋_GB2312" w:cs="仿宋_GB2312"/>
          <w:color w:val="000000" w:themeColor="text1"/>
          <w:sz w:val="32"/>
          <w:szCs w:val="32"/>
          <w:lang w:val="en-US" w:eastAsia="zh-CN"/>
          <w14:textFill>
            <w14:solidFill>
              <w14:schemeClr w14:val="tx1"/>
            </w14:solidFill>
          </w14:textFill>
        </w:rPr>
        <w:t>一次性</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基施13kg/亩。</w:t>
      </w:r>
    </w:p>
    <w:p w14:paraId="7CF24F75">
      <w:pPr>
        <w:pStyle w:val="21"/>
        <w:spacing w:before="156" w:after="156"/>
        <w:ind w:firstLine="640" w:firstLineChars="200"/>
        <w:rPr>
          <w:rFonts w:hint="default" w:ascii="仿宋_GB2312" w:hAnsi="仿宋_GB2312" w:eastAsia="仿宋_GB2312" w:cs="仿宋_GB2312"/>
          <w:b w:val="0"/>
          <w:bCs w:val="0"/>
          <w:kern w:val="0"/>
          <w:sz w:val="32"/>
          <w:szCs w:val="32"/>
          <w:highlight w:val="none"/>
          <w:lang w:val="en-US" w:eastAsia="zh-CN" w:bidi="ar-SA"/>
        </w:rPr>
      </w:pP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通过对</w:t>
      </w:r>
      <w:r>
        <w:rPr>
          <w:rFonts w:hint="eastAsia" w:ascii="Times New Roman" w:eastAsia="仿宋_GB2312" w:cs="仿宋_GB2312"/>
          <w:color w:val="000000" w:themeColor="text1"/>
          <w:sz w:val="32"/>
          <w:szCs w:val="32"/>
          <w:lang w:val="en-US" w:eastAsia="zh-CN"/>
          <w14:textFill>
            <w14:solidFill>
              <w14:schemeClr w14:val="tx1"/>
            </w14:solidFill>
          </w14:textFill>
        </w:rPr>
        <w:t>2</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个试验点</w:t>
      </w:r>
      <w:r>
        <w:rPr>
          <w:rFonts w:hint="eastAsia" w:ascii="Times New Roman" w:eastAsia="仿宋_GB2312" w:cs="仿宋_GB2312"/>
          <w:color w:val="000000" w:themeColor="text1"/>
          <w:sz w:val="32"/>
          <w:szCs w:val="32"/>
          <w:lang w:val="en-US" w:eastAsia="zh-CN"/>
          <w14:textFill>
            <w14:solidFill>
              <w14:schemeClr w14:val="tx1"/>
            </w14:solidFill>
          </w14:textFill>
        </w:rPr>
        <w:t>4个不同模式</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的大豆玉米带状复合种植出苗率</w:t>
      </w:r>
      <w:r>
        <w:rPr>
          <w:rFonts w:hint="eastAsia" w:ascii="Times New Roman" w:eastAsia="仿宋_GB2312" w:cs="仿宋_GB2312"/>
          <w:color w:val="000000" w:themeColor="text1"/>
          <w:sz w:val="32"/>
          <w:szCs w:val="32"/>
          <w:lang w:val="en-US" w:eastAsia="zh-CN"/>
          <w14:textFill>
            <w14:solidFill>
              <w14:schemeClr w14:val="tx1"/>
            </w14:solidFill>
          </w14:textFill>
        </w:rPr>
        <w:t>及生育期</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监</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测显示：</w:t>
      </w:r>
      <w:r>
        <w:rPr>
          <w:rFonts w:hint="default" w:ascii="Times New Roman" w:hAnsi="Times New Roman" w:eastAsia="仿宋_GB2312" w:cs="仿宋_GB2312"/>
          <w:color w:val="000000" w:themeColor="text1"/>
          <w:sz w:val="32"/>
          <w:szCs w:val="32"/>
          <w:highlight w:val="none"/>
          <w:lang w:val="en-US" w:eastAsia="zh-CN"/>
          <w14:textFill>
            <w14:solidFill>
              <w14:schemeClr w14:val="tx1"/>
            </w14:solidFill>
          </w14:textFill>
        </w:rPr>
        <w:t>各点</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缓</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释</w:t>
      </w:r>
      <w:r>
        <w:rPr>
          <w:rFonts w:hint="default" w:ascii="Times New Roman" w:hAnsi="Times New Roman" w:eastAsia="仿宋_GB2312" w:cs="仿宋_GB2312"/>
          <w:color w:val="000000" w:themeColor="text1"/>
          <w:sz w:val="32"/>
          <w:szCs w:val="32"/>
          <w:highlight w:val="none"/>
          <w:lang w:val="en-US" w:eastAsia="zh-CN"/>
          <w14:textFill>
            <w14:solidFill>
              <w14:schemeClr w14:val="tx1"/>
            </w14:solidFill>
          </w14:textFill>
        </w:rPr>
        <w:t>肥处理</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出苗率均在9</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5</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%以上，</w:t>
      </w:r>
      <w:r>
        <w:rPr>
          <w:rFonts w:hint="default" w:ascii="Times New Roman" w:hAnsi="Times New Roman" w:eastAsia="仿宋_GB2312" w:cs="仿宋_GB2312"/>
          <w:color w:val="000000" w:themeColor="text1"/>
          <w:sz w:val="32"/>
          <w:szCs w:val="32"/>
          <w:highlight w:val="none"/>
          <w:lang w:val="en-US" w:eastAsia="zh-CN"/>
          <w14:textFill>
            <w14:solidFill>
              <w14:schemeClr w14:val="tx1"/>
            </w14:solidFill>
          </w14:textFill>
        </w:rPr>
        <w:t>一次性</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基施</w:t>
      </w:r>
      <w:r>
        <w:rPr>
          <w:rFonts w:hint="default" w:ascii="Times New Roman" w:hAnsi="Times New Roman" w:eastAsia="仿宋_GB2312" w:cs="仿宋_GB2312"/>
          <w:color w:val="000000" w:themeColor="text1"/>
          <w:sz w:val="32"/>
          <w:szCs w:val="32"/>
          <w:highlight w:val="none"/>
          <w:lang w:val="en-US" w:eastAsia="zh-CN"/>
          <w14:textFill>
            <w14:solidFill>
              <w14:schemeClr w14:val="tx1"/>
            </w14:solidFill>
          </w14:textFill>
        </w:rPr>
        <w:t>安全性良好</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。产量结果表明：</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①</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原州区</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试验点各处理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玉米产量分别为：738.1kg/亩、795.3kg/亩、650.9kg/亩、600.62kg/亩、491.5kg/亩，大豆产量分别为：119.8kg/亩、109.5kg/亩、91.4kg/亩、76kg/亩、68kg/亩，产量</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差异达显著水平</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处理2玉米实际产量795.3kg/亩，缓释肥施用量64kg/亩，大豆实际109.5kg/亩，缓释肥施用量16kg/亩，经济效益最明显，较空白对照玉米、大豆产量分别提高303.8kg/亩、41.5kg/亩。验证了在玉米700kg/亩以上、大豆100kg/亩以上目标产量下，推荐玉米缓释肥施用量58.4kg/亩~64.1kg/亩和大豆缓释肥施肥量12.5kg/亩~16.3kg/亩可行性。</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②</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彭阳</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县试验点</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4：3模式下</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各处理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玉米产量分别为：731.2kg/亩、659.3kg/亩、616.9kg/亩、628kg/亩、670.3kg/亩，大豆产量分别为：112.3kg/亩、90.5kg/亩、84.8kg/亩、85.2kg/亩、92.6kg/亩，产量差异显著，处理1玉米实际产量731.2kg/亩，缓释肥施用量60kg/亩，大豆实际产量112.3kg/亩，缓释肥施用量17kg/亩，产量都比其他处理显著增加，验证了在玉米700kg/亩以上、大豆105kg/亩以上目标产量下，推荐玉米缓释肥施用量62.7~68.6kg/亩和大豆缓释肥施肥量13.2~17.1kg/亩可行性。</w:t>
      </w:r>
      <w:r>
        <w:rPr>
          <w:rFonts w:hint="eastAsia" w:ascii="仿宋" w:hAnsi="仿宋" w:eastAsia="仿宋" w:cs="仿宋"/>
          <w:color w:val="000000" w:themeColor="text1"/>
          <w:sz w:val="32"/>
          <w:szCs w:val="32"/>
          <w:highlight w:val="none"/>
          <w:lang w:val="en-US" w:eastAsia="zh-CN"/>
          <w14:textFill>
            <w14:solidFill>
              <w14:schemeClr w14:val="tx1"/>
            </w14:solidFill>
          </w14:textFill>
        </w:rPr>
        <w:t>③</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彭阳</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县试验点</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4：4模式下</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各处理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玉米产量分别为：732.1kg/亩、658.5kg/亩、613.6kg/亩、629.9kg/亩、669.5kg/亩，大豆产量分别为：124.3kg/亩、91.4kg/亩、88.3kg/亩、90.2kg/亩、92.2kg/亩，产量差异显著，处理1玉米实际产量732.1kg/亩，缓释肥施用量60kg/亩，大豆实际产量124.3kg/亩，缓释肥施用量17kg/亩，产量都比其他处理显著增加，验证了在玉米700kg/亩以上、大豆105kg/亩以上目标产量下，推荐玉米缓释肥施用量62.7~68.6kg/亩和大豆缓释肥施肥量13.2~17.1kg/亩可行性。</w:t>
      </w:r>
      <w:r>
        <w:rPr>
          <w:rFonts w:hint="eastAsia" w:ascii="仿宋" w:hAnsi="仿宋" w:eastAsia="仿宋" w:cs="仿宋"/>
          <w:color w:val="000000" w:themeColor="text1"/>
          <w:sz w:val="32"/>
          <w:szCs w:val="32"/>
          <w:highlight w:val="none"/>
          <w:lang w:val="en-US" w:eastAsia="zh-CN"/>
          <w14:textFill>
            <w14:solidFill>
              <w14:schemeClr w14:val="tx1"/>
            </w14:solidFill>
          </w14:textFill>
        </w:rPr>
        <w:t>④</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彭阳</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县试验点2</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：3模式下</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各处理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玉米产量分别为：784.8kg/亩、649.1kg/亩、606.7kg/亩、605.8kg/亩、659.9kg/亩，大豆产量分别为：112.8kg/亩、85.8kg/亩、87.2kg/亩、85.1kg/亩、91.6kg/亩，产量差异显著，处理1玉米实际产量784.8kg/亩，缓释肥施用量60kg/亩，大豆实际产量112.8kg/亩，缓释肥施用量17kg/亩，产量都比其他处理显著增加，验证了在玉米700kg/亩以上、大豆100kg/亩以上目标产量下，推荐玉米缓释肥施用量58.4～64.1kg/亩和大豆缓释肥施肥量12.5～16.3kg/亩可行性。</w:t>
      </w:r>
    </w:p>
    <w:p w14:paraId="2F617378">
      <w:pPr>
        <w:spacing w:line="560" w:lineRule="exact"/>
        <w:ind w:firstLine="643" w:firstLineChars="200"/>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b/>
          <w:bCs/>
          <w:snapToGrid w:val="0"/>
          <w:color w:val="000000" w:themeColor="text1"/>
          <w:kern w:val="0"/>
          <w:sz w:val="32"/>
          <w:szCs w:val="32"/>
          <w:lang w:val="en-US" w:eastAsia="zh-CN"/>
          <w14:textFill>
            <w14:solidFill>
              <w14:schemeClr w14:val="tx1"/>
            </w14:solidFill>
          </w14:textFill>
        </w:rPr>
        <w:t>（三）示范推广效果</w:t>
      </w:r>
    </w:p>
    <w:p w14:paraId="563D1D8E">
      <w:pPr>
        <w:spacing w:line="560" w:lineRule="exact"/>
        <w:ind w:firstLine="640" w:firstLineChars="200"/>
        <w:rPr>
          <w:rFonts w:hint="eastAsia" w:ascii="仿宋_GB2312" w:hAnsi="仿宋_GB2312" w:eastAsia="仿宋_GB2312" w:cs="仿宋_GB2312"/>
          <w:snapToGrid w:val="0"/>
          <w:color w:val="000000" w:themeColor="text1"/>
          <w:kern w:val="0"/>
          <w:sz w:val="32"/>
          <w:szCs w:val="32"/>
          <w:lang w:val="zh-CN" w:eastAsia="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截至2025年，该技术已在宁夏各地建立核心示范示范区253个，示范面积累计达101.44万亩（其中大豆玉米带状复合种植示范面积22.82万亩）。技术历经15年优化与推广，在全区累计推广2184.48万亩，累计增产粮食71.24万吨，减少化肥投入4.79万吨，</w:t>
      </w:r>
      <w:r>
        <w:rPr>
          <w:rFonts w:hint="default" w:ascii="仿宋_GB2312" w:hAnsi="仿宋_GB2312" w:eastAsia="仿宋_GB2312" w:cs="仿宋_GB2312"/>
          <w:snapToGrid w:val="0"/>
          <w:color w:val="000000" w:themeColor="text1"/>
          <w:kern w:val="0"/>
          <w:sz w:val="32"/>
          <w:szCs w:val="32"/>
          <w:lang w:val="zh-CN" w:eastAsia="zh-CN"/>
          <w14:textFill>
            <w14:solidFill>
              <w14:schemeClr w14:val="tx1"/>
            </w14:solidFill>
          </w14:textFill>
        </w:rPr>
        <w:t>化肥利用率从推广前的不足35%提升至4</w:t>
      </w: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3.32</w:t>
      </w:r>
      <w:r>
        <w:rPr>
          <w:rFonts w:hint="default" w:ascii="仿宋_GB2312" w:hAnsi="仿宋_GB2312" w:eastAsia="仿宋_GB2312" w:cs="仿宋_GB2312"/>
          <w:snapToGrid w:val="0"/>
          <w:color w:val="000000" w:themeColor="text1"/>
          <w:kern w:val="0"/>
          <w:sz w:val="32"/>
          <w:szCs w:val="32"/>
          <w:lang w:val="zh-CN" w:eastAsia="zh-CN"/>
          <w14:textFill>
            <w14:solidFill>
              <w14:schemeClr w14:val="tx1"/>
            </w14:solidFill>
          </w14:textFill>
        </w:rPr>
        <w:t>%</w:t>
      </w: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w:t>
      </w:r>
      <w:r>
        <w:rPr>
          <w:rFonts w:hint="default" w:ascii="仿宋_GB2312" w:hAnsi="仿宋_GB2312" w:eastAsia="仿宋_GB2312" w:cs="仿宋_GB2312"/>
          <w:snapToGrid w:val="0"/>
          <w:color w:val="000000" w:themeColor="text1"/>
          <w:kern w:val="0"/>
          <w:sz w:val="32"/>
          <w:szCs w:val="32"/>
          <w:lang w:val="zh-CN" w:eastAsia="zh-CN"/>
          <w14:textFill>
            <w14:solidFill>
              <w14:schemeClr w14:val="tx1"/>
            </w14:solidFill>
          </w14:textFill>
        </w:rPr>
        <w:t>节约劳力成本约16.89亿元</w:t>
      </w: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，为全区化肥施用总量和施用强度实现"七连降"做出了重要贡献。技术赢得了广大农户，特别是种植大户的认可，经济、社会、生态效益显著。</w:t>
      </w:r>
    </w:p>
    <w:p w14:paraId="06D5C8D9">
      <w:pPr>
        <w:spacing w:line="560" w:lineRule="exact"/>
        <w:ind w:firstLine="643" w:firstLineChars="200"/>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t>（</w:t>
      </w:r>
      <w:r>
        <w:rPr>
          <w:rFonts w:hint="eastAsia" w:ascii="仿宋_GB2312" w:hAnsi="仿宋_GB2312" w:eastAsia="仿宋_GB2312" w:cs="仿宋_GB2312"/>
          <w:b/>
          <w:bCs/>
          <w:snapToGrid w:val="0"/>
          <w:color w:val="000000" w:themeColor="text1"/>
          <w:kern w:val="0"/>
          <w:sz w:val="32"/>
          <w:szCs w:val="32"/>
          <w:lang w:val="en-US" w:eastAsia="zh-CN"/>
          <w14:textFill>
            <w14:solidFill>
              <w14:schemeClr w14:val="tx1"/>
            </w14:solidFill>
          </w14:textFill>
        </w:rPr>
        <w:t>四）</w:t>
      </w:r>
      <w:r>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t xml:space="preserve">技术成熟度与可操作性 </w:t>
      </w:r>
    </w:p>
    <w:p w14:paraId="66F584C8">
      <w:pPr>
        <w:spacing w:line="560" w:lineRule="exact"/>
        <w:ind w:firstLine="640" w:firstLineChars="200"/>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本技术体系源于长期系统性的科学试验与生产实践，经过15年的持续研究、验证与大面积示范推广，已形成成熟、稳定、操作性强的标准化技术方案。标准中所有技术指标与参数均经过大量试验验证和实践检验，技术指标科学合理，参数设置符合宁夏实际，能够有效指导大豆玉米带状复合种植一次性施肥技术的标准化、规范化应用。同时该技术成果获农业农村部农牧渔业丰收奖二等奖，具备扎实的科学基础、广泛的实践检验和良好的推广应用前景，能够有效指导宁夏大豆玉米带状复合种植一次性施肥技术的规范化应用。。</w:t>
      </w:r>
    </w:p>
    <w:p w14:paraId="13119F1A">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六、重大意见分歧的处理依据</w:t>
      </w:r>
      <w:r>
        <w:rPr>
          <w:rFonts w:ascii="黑体" w:hAnsi="黑体" w:eastAsia="黑体" w:cs="黑体"/>
          <w:sz w:val="32"/>
          <w:szCs w:val="32"/>
        </w:rPr>
        <w:t>和结果</w:t>
      </w:r>
    </w:p>
    <w:p w14:paraId="5C3A418F">
      <w:pPr>
        <w:spacing w:line="560" w:lineRule="exact"/>
        <w:ind w:firstLine="640" w:firstLineChars="200"/>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t>本标准在制定过程中，已与相关领域的科研、推广等方面的专家、管理人员进行充分沟通，并在广泛征求意见的基础上制定，未产生重大分歧意见。</w:t>
      </w:r>
    </w:p>
    <w:p w14:paraId="22852582">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七、实施</w:t>
      </w:r>
      <w:r>
        <w:rPr>
          <w:rFonts w:ascii="黑体" w:hAnsi="黑体" w:eastAsia="黑体" w:cs="黑体"/>
          <w:sz w:val="32"/>
          <w:szCs w:val="32"/>
        </w:rPr>
        <w:t>标准的措施及建议</w:t>
      </w:r>
    </w:p>
    <w:p w14:paraId="7059F09A">
      <w:pPr>
        <w:spacing w:line="560" w:lineRule="exact"/>
        <w:ind w:firstLine="643" w:firstLineChars="200"/>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t>（一）</w:t>
      </w:r>
      <w:r>
        <w:rPr>
          <w:rFonts w:hint="eastAsia" w:ascii="仿宋_GB2312" w:hAnsi="仿宋_GB2312" w:eastAsia="仿宋_GB2312" w:cs="仿宋_GB2312"/>
          <w:b/>
          <w:bCs/>
          <w:snapToGrid w:val="0"/>
          <w:color w:val="000000" w:themeColor="text1"/>
          <w:kern w:val="0"/>
          <w:sz w:val="32"/>
          <w:szCs w:val="32"/>
          <w:lang w:val="zh-CN" w:eastAsia="zh-CN"/>
          <w14:textFill>
            <w14:solidFill>
              <w14:schemeClr w14:val="tx1"/>
            </w14:solidFill>
          </w14:textFill>
        </w:rPr>
        <w:t>实施</w:t>
      </w:r>
      <w:r>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t>措施</w:t>
      </w:r>
    </w:p>
    <w:p w14:paraId="703B44C0">
      <w:pPr>
        <w:spacing w:line="560" w:lineRule="exact"/>
        <w:ind w:firstLine="640" w:firstLineChars="200"/>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1.加强标准宣贯培训。</w:t>
      </w:r>
      <w:r>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t>组织全区各级农技推广部门，组织专家与技术人员开展标准宣贯与实操培训，重点面向种植大户、专业合作社及基层农技人员，确保标准内容准确理解与规范应用。</w:t>
      </w:r>
    </w:p>
    <w:p w14:paraId="5E6F32EA">
      <w:pPr>
        <w:spacing w:line="560" w:lineRule="exact"/>
        <w:ind w:firstLine="640" w:firstLineChars="200"/>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2.开展示范推广与跟踪评估。依托测土配方施肥、化肥减量增效等项目，建设一次性施肥技术试验示范区，通过现场观摩、田间课堂、技术交流等形式，组织农技人员、种植主体参观学习，直观掌握一次性施肥技术研究成果与应用效果，推动技术落地。建立效果监测机制，定期对实施区域进行产量、节肥、土壤质量等指标跟踪，评价实施效果。</w:t>
      </w:r>
    </w:p>
    <w:p w14:paraId="22F3AF0D">
      <w:pPr>
        <w:spacing w:line="560" w:lineRule="exact"/>
        <w:ind w:firstLine="640" w:firstLineChars="200"/>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3.创新推广方式：充分利用微信公众号、视频号等新媒体手段，制作技术图解、操作视频、典型案例等宣传材料，多形式、多渠道推广应用技术规程，扩大标准覆盖面和影响力。</w:t>
      </w:r>
    </w:p>
    <w:p w14:paraId="7C4E49F0">
      <w:pPr>
        <w:spacing w:line="560" w:lineRule="exact"/>
        <w:ind w:firstLine="643" w:firstLineChars="200"/>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t>（二）实施建议</w:t>
      </w:r>
    </w:p>
    <w:p w14:paraId="1943AC84">
      <w:pPr>
        <w:spacing w:line="560" w:lineRule="exact"/>
        <w:ind w:firstLine="640" w:firstLineChars="200"/>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本标准各项技术指标均基于全区多年、多点田间试验与示范验证，科学可靠、操作性强，符合宁夏大豆玉米带状复合种植生产实际，对推动化肥减量增效、提升耕地质量具有重要指导意义。建议作为推荐性地方标准批准发布，并在全区大豆玉米带状复合种植生产中推广应用。</w:t>
      </w:r>
    </w:p>
    <w:p w14:paraId="12C8B925">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八、知识产权说明</w:t>
      </w:r>
    </w:p>
    <w:p w14:paraId="76F91751">
      <w:pPr>
        <w:spacing w:line="560" w:lineRule="exact"/>
        <w:ind w:firstLine="640" w:firstLineChars="200"/>
        <w:rPr>
          <w:rFonts w:ascii="仿宋_GB2312" w:hAnsi="仿宋_GB2312" w:eastAsia="仿宋_GB2312" w:cs="仿宋_GB2312"/>
          <w:snapToGrid w:val="0"/>
          <w:color w:val="000000" w:themeColor="text1"/>
          <w:kern w:val="0"/>
          <w:sz w:val="32"/>
          <w:szCs w:val="32"/>
          <w14:textFill>
            <w14:solidFill>
              <w14:schemeClr w14:val="tx1"/>
            </w14:solidFill>
          </w14:textFill>
        </w:rPr>
      </w:pPr>
      <w:r>
        <w:rPr>
          <w:rFonts w:ascii="Times New Roman" w:hAnsi="Times New Roman" w:eastAsia="仿宋_GB2312" w:cs="Times New Roman"/>
          <w:snapToGrid w:val="0"/>
          <w:color w:val="000000" w:themeColor="text1"/>
          <w:kern w:val="0"/>
          <w:sz w:val="32"/>
          <w:szCs w:val="32"/>
          <w:lang w:val="zh-CN"/>
          <w14:textFill>
            <w14:solidFill>
              <w14:schemeClr w14:val="tx1"/>
            </w14:solidFill>
          </w14:textFill>
        </w:rPr>
        <w:t>不涉及相关知识产权和专利。</w:t>
      </w:r>
    </w:p>
    <w:p w14:paraId="725B8A89">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九、其他应说明的事项</w:t>
      </w:r>
    </w:p>
    <w:p w14:paraId="353A4F4E">
      <w:pPr>
        <w:pStyle w:val="3"/>
        <w:spacing w:before="0" w:beforeAutospacing="0" w:after="0" w:afterAutospacing="0" w:line="600" w:lineRule="exact"/>
        <w:ind w:firstLine="640" w:firstLineChars="200"/>
        <w:jc w:val="both"/>
        <w:rPr>
          <w:rFonts w:hint="default"/>
          <w:snapToGrid w:val="0"/>
          <w:color w:val="000000" w:themeColor="text1"/>
          <w:sz w:val="32"/>
          <w:szCs w:val="32"/>
          <w14:textFill>
            <w14:solidFill>
              <w14:schemeClr w14:val="tx1"/>
            </w14:solidFill>
          </w14:textFill>
        </w:rPr>
      </w:pPr>
      <w:r>
        <w:rPr>
          <w:rFonts w:ascii="仿宋_GB2312" w:hAnsi="仿宋_GB2312" w:eastAsia="仿宋_GB2312" w:cs="仿宋_GB2312"/>
          <w:b w:val="0"/>
          <w:bCs/>
          <w:snapToGrid w:val="0"/>
          <w:color w:val="000000" w:themeColor="text1"/>
          <w:sz w:val="32"/>
          <w:szCs w:val="32"/>
          <w14:textFill>
            <w14:solidFill>
              <w14:schemeClr w14:val="tx1"/>
            </w14:solidFill>
          </w14:textFill>
        </w:rPr>
        <w:t>无。</w:t>
      </w:r>
    </w:p>
    <w:p w14:paraId="402C20A9">
      <w:pPr>
        <w:pStyle w:val="3"/>
        <w:rPr>
          <w:rFonts w:ascii="方正小标宋_GBK" w:hAnsi="黑体" w:eastAsia="方正小标宋_GBK"/>
          <w:sz w:val="32"/>
          <w:szCs w:val="32"/>
        </w:rPr>
      </w:pPr>
    </w:p>
    <w:p w14:paraId="55AF8ED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00"/>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Calibri Light">
    <w:altName w:val="Times New Roman"/>
    <w:panose1 w:val="020F0302020204030204"/>
    <w:charset w:val="00"/>
    <w:family w:val="swiss"/>
    <w:pitch w:val="default"/>
    <w:sig w:usb0="00000000" w:usb1="00000000" w:usb2="00000000" w:usb3="00000000" w:csb0="2000019F" w:csb1="00000000"/>
  </w:font>
  <w:font w:name="DejaVu Sans">
    <w:panose1 w:val="020B0603030804020204"/>
    <w:charset w:val="00"/>
    <w:family w:val="auto"/>
    <w:pitch w:val="default"/>
    <w:sig w:usb0="E7006EFF" w:usb1="D200FDFF" w:usb2="0A246029" w:usb3="0400200C" w:csb0="600001FF" w:csb1="DFFF0000"/>
  </w:font>
  <w:font w:name="方正小标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Segoe UI">
    <w:altName w:val="Noto Naskh Arabic"/>
    <w:panose1 w:val="020B0502040204020203"/>
    <w:charset w:val="00"/>
    <w:family w:val="auto"/>
    <w:pitch w:val="default"/>
    <w:sig w:usb0="00000000" w:usb1="00000000" w:usb2="00000029" w:usb3="00000000" w:csb0="200001DF" w:csb1="20000000"/>
  </w:font>
  <w:font w:name="Noto Naskh Arabic">
    <w:panose1 w:val="020B0502040504020204"/>
    <w:charset w:val="00"/>
    <w:family w:val="auto"/>
    <w:pitch w:val="default"/>
    <w:sig w:usb0="80002003" w:usb1="80002000" w:usb2="00000008" w:usb3="00000000" w:csb0="00000041" w:csb1="00080000"/>
  </w:font>
  <w:font w:name="楷体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711CCB"/>
    <w:multiLevelType w:val="singleLevel"/>
    <w:tmpl w:val="72711CC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3OGYzZDA0MzM0MmZmMWEyOGFlYzEzNThiYzk5M2QifQ=="/>
  </w:docVars>
  <w:rsids>
    <w:rsidRoot w:val="00172A27"/>
    <w:rsid w:val="010E3A48"/>
    <w:rsid w:val="012A1031"/>
    <w:rsid w:val="018B280D"/>
    <w:rsid w:val="01CE4715"/>
    <w:rsid w:val="02881A3C"/>
    <w:rsid w:val="02906F11"/>
    <w:rsid w:val="02E47F03"/>
    <w:rsid w:val="03564E08"/>
    <w:rsid w:val="0378063E"/>
    <w:rsid w:val="03AE6494"/>
    <w:rsid w:val="043B4698"/>
    <w:rsid w:val="04757341"/>
    <w:rsid w:val="050E4B54"/>
    <w:rsid w:val="060F5E53"/>
    <w:rsid w:val="06122F88"/>
    <w:rsid w:val="062D1AAF"/>
    <w:rsid w:val="06BF6E3C"/>
    <w:rsid w:val="07064092"/>
    <w:rsid w:val="078B20DF"/>
    <w:rsid w:val="07B25830"/>
    <w:rsid w:val="08666E3F"/>
    <w:rsid w:val="08C3308B"/>
    <w:rsid w:val="08E27D9B"/>
    <w:rsid w:val="08EE77B6"/>
    <w:rsid w:val="09197F25"/>
    <w:rsid w:val="09902459"/>
    <w:rsid w:val="0A132AC8"/>
    <w:rsid w:val="0B4007CB"/>
    <w:rsid w:val="0BA81DC8"/>
    <w:rsid w:val="0BAA5E29"/>
    <w:rsid w:val="0D392C54"/>
    <w:rsid w:val="0D9A164F"/>
    <w:rsid w:val="0DAE2303"/>
    <w:rsid w:val="0DF27149"/>
    <w:rsid w:val="0E152FAC"/>
    <w:rsid w:val="0E594D77"/>
    <w:rsid w:val="0EBE1E7E"/>
    <w:rsid w:val="0ED904BE"/>
    <w:rsid w:val="0F0B54A6"/>
    <w:rsid w:val="10185139"/>
    <w:rsid w:val="101A43FD"/>
    <w:rsid w:val="10612637"/>
    <w:rsid w:val="10B64D94"/>
    <w:rsid w:val="10D66437"/>
    <w:rsid w:val="10D80231"/>
    <w:rsid w:val="10DF2A48"/>
    <w:rsid w:val="12397C5B"/>
    <w:rsid w:val="12B51D40"/>
    <w:rsid w:val="12DE3FFF"/>
    <w:rsid w:val="13021E3F"/>
    <w:rsid w:val="130654DA"/>
    <w:rsid w:val="136E072C"/>
    <w:rsid w:val="13C71955"/>
    <w:rsid w:val="142C2376"/>
    <w:rsid w:val="14312BB1"/>
    <w:rsid w:val="14937CE4"/>
    <w:rsid w:val="14B53B71"/>
    <w:rsid w:val="14D964F6"/>
    <w:rsid w:val="154F7486"/>
    <w:rsid w:val="159E329B"/>
    <w:rsid w:val="16435794"/>
    <w:rsid w:val="167E612A"/>
    <w:rsid w:val="16FA74C1"/>
    <w:rsid w:val="17972D41"/>
    <w:rsid w:val="18304759"/>
    <w:rsid w:val="19D3216D"/>
    <w:rsid w:val="1A7A6A40"/>
    <w:rsid w:val="1A9F05BC"/>
    <w:rsid w:val="1AE661FF"/>
    <w:rsid w:val="1B550FE4"/>
    <w:rsid w:val="1BAA76E0"/>
    <w:rsid w:val="1BCA30B9"/>
    <w:rsid w:val="1DB55626"/>
    <w:rsid w:val="1E6E4A2F"/>
    <w:rsid w:val="1EE83C9F"/>
    <w:rsid w:val="1F68523C"/>
    <w:rsid w:val="1FCB27B8"/>
    <w:rsid w:val="1FD40CFC"/>
    <w:rsid w:val="201D63C9"/>
    <w:rsid w:val="20207D22"/>
    <w:rsid w:val="20E144FE"/>
    <w:rsid w:val="22F66168"/>
    <w:rsid w:val="234939F4"/>
    <w:rsid w:val="235F70F3"/>
    <w:rsid w:val="247508D3"/>
    <w:rsid w:val="25641764"/>
    <w:rsid w:val="26632AEE"/>
    <w:rsid w:val="266558ED"/>
    <w:rsid w:val="26C56B38"/>
    <w:rsid w:val="29013255"/>
    <w:rsid w:val="298D1B3F"/>
    <w:rsid w:val="2A5C7B2B"/>
    <w:rsid w:val="2B9D4766"/>
    <w:rsid w:val="2BE839B4"/>
    <w:rsid w:val="2C727379"/>
    <w:rsid w:val="2CCD678E"/>
    <w:rsid w:val="2CFD2B2B"/>
    <w:rsid w:val="2D067C4C"/>
    <w:rsid w:val="2D5C5ABE"/>
    <w:rsid w:val="2DC77C29"/>
    <w:rsid w:val="2DD42233"/>
    <w:rsid w:val="2E0B6A8A"/>
    <w:rsid w:val="2E290C48"/>
    <w:rsid w:val="2EA1198E"/>
    <w:rsid w:val="2F6F45FC"/>
    <w:rsid w:val="2F75451C"/>
    <w:rsid w:val="2F8224FF"/>
    <w:rsid w:val="2FE82B00"/>
    <w:rsid w:val="300857B2"/>
    <w:rsid w:val="30E1593E"/>
    <w:rsid w:val="31025B09"/>
    <w:rsid w:val="31414A5E"/>
    <w:rsid w:val="319E4DF8"/>
    <w:rsid w:val="31B41A25"/>
    <w:rsid w:val="3264169D"/>
    <w:rsid w:val="32F719A3"/>
    <w:rsid w:val="33C527AD"/>
    <w:rsid w:val="33FF6657"/>
    <w:rsid w:val="3434509F"/>
    <w:rsid w:val="349B0F5D"/>
    <w:rsid w:val="34F34E1D"/>
    <w:rsid w:val="352073D1"/>
    <w:rsid w:val="356B252F"/>
    <w:rsid w:val="357D2930"/>
    <w:rsid w:val="36096403"/>
    <w:rsid w:val="3754218A"/>
    <w:rsid w:val="37AE40C2"/>
    <w:rsid w:val="37FE1C4C"/>
    <w:rsid w:val="38416397"/>
    <w:rsid w:val="386A2968"/>
    <w:rsid w:val="3AD54D63"/>
    <w:rsid w:val="3AD83395"/>
    <w:rsid w:val="3AE24BAA"/>
    <w:rsid w:val="3AF13B97"/>
    <w:rsid w:val="3B5612E6"/>
    <w:rsid w:val="3C543787"/>
    <w:rsid w:val="3C6C2A54"/>
    <w:rsid w:val="3CA66D5C"/>
    <w:rsid w:val="3CFE0B40"/>
    <w:rsid w:val="3D46E933"/>
    <w:rsid w:val="3DED132A"/>
    <w:rsid w:val="3E605A42"/>
    <w:rsid w:val="3EC90660"/>
    <w:rsid w:val="3FBA457B"/>
    <w:rsid w:val="416E1D71"/>
    <w:rsid w:val="41CE1354"/>
    <w:rsid w:val="41DD0B24"/>
    <w:rsid w:val="42032ED0"/>
    <w:rsid w:val="42293D69"/>
    <w:rsid w:val="429C68ED"/>
    <w:rsid w:val="42B776F9"/>
    <w:rsid w:val="43A20770"/>
    <w:rsid w:val="44522FD6"/>
    <w:rsid w:val="446D1030"/>
    <w:rsid w:val="44B50DCE"/>
    <w:rsid w:val="44CE6AF4"/>
    <w:rsid w:val="44D90072"/>
    <w:rsid w:val="45C5343B"/>
    <w:rsid w:val="45F72659"/>
    <w:rsid w:val="462F29E0"/>
    <w:rsid w:val="46602F82"/>
    <w:rsid w:val="46A74678"/>
    <w:rsid w:val="46EB3BA2"/>
    <w:rsid w:val="472305FF"/>
    <w:rsid w:val="47D551D0"/>
    <w:rsid w:val="484B7795"/>
    <w:rsid w:val="48BD0BFB"/>
    <w:rsid w:val="48F11FB7"/>
    <w:rsid w:val="4A896855"/>
    <w:rsid w:val="4B7A0DFC"/>
    <w:rsid w:val="4BE72F58"/>
    <w:rsid w:val="4DA04ECB"/>
    <w:rsid w:val="4DBC6717"/>
    <w:rsid w:val="4E3A0D0D"/>
    <w:rsid w:val="4E6702AB"/>
    <w:rsid w:val="4F2732DA"/>
    <w:rsid w:val="4F3F2E1E"/>
    <w:rsid w:val="50E0793D"/>
    <w:rsid w:val="51315719"/>
    <w:rsid w:val="52BC67CA"/>
    <w:rsid w:val="53042FA3"/>
    <w:rsid w:val="53203F72"/>
    <w:rsid w:val="535D4273"/>
    <w:rsid w:val="53F76CA3"/>
    <w:rsid w:val="54186F41"/>
    <w:rsid w:val="557C1FAA"/>
    <w:rsid w:val="55924DCB"/>
    <w:rsid w:val="56254C95"/>
    <w:rsid w:val="56436319"/>
    <w:rsid w:val="574746C0"/>
    <w:rsid w:val="57D807E3"/>
    <w:rsid w:val="58041C55"/>
    <w:rsid w:val="58577206"/>
    <w:rsid w:val="585B2F03"/>
    <w:rsid w:val="59401951"/>
    <w:rsid w:val="5A791130"/>
    <w:rsid w:val="5A9009D2"/>
    <w:rsid w:val="5AAE3027"/>
    <w:rsid w:val="5B2F77F1"/>
    <w:rsid w:val="5B644081"/>
    <w:rsid w:val="5BA43DF3"/>
    <w:rsid w:val="5BBF5918"/>
    <w:rsid w:val="5CA93512"/>
    <w:rsid w:val="5CD146D7"/>
    <w:rsid w:val="5D094830"/>
    <w:rsid w:val="5E16339F"/>
    <w:rsid w:val="5E714E68"/>
    <w:rsid w:val="5E992BED"/>
    <w:rsid w:val="5EF236E4"/>
    <w:rsid w:val="5FA7072F"/>
    <w:rsid w:val="602509EE"/>
    <w:rsid w:val="603D68F1"/>
    <w:rsid w:val="60747F1B"/>
    <w:rsid w:val="61903D20"/>
    <w:rsid w:val="61DE2022"/>
    <w:rsid w:val="620E3DBB"/>
    <w:rsid w:val="62B467CF"/>
    <w:rsid w:val="63164E21"/>
    <w:rsid w:val="637675BB"/>
    <w:rsid w:val="63A35DFC"/>
    <w:rsid w:val="63C44343"/>
    <w:rsid w:val="648418D5"/>
    <w:rsid w:val="64FD143E"/>
    <w:rsid w:val="65D11F36"/>
    <w:rsid w:val="661E2A6C"/>
    <w:rsid w:val="66716338"/>
    <w:rsid w:val="66E7082D"/>
    <w:rsid w:val="684FF0E6"/>
    <w:rsid w:val="68BC4392"/>
    <w:rsid w:val="68C85F75"/>
    <w:rsid w:val="68DB1332"/>
    <w:rsid w:val="68EC23C5"/>
    <w:rsid w:val="691959FB"/>
    <w:rsid w:val="693130A1"/>
    <w:rsid w:val="697D3521"/>
    <w:rsid w:val="6A6A32E9"/>
    <w:rsid w:val="6B0E29B2"/>
    <w:rsid w:val="6B8D008F"/>
    <w:rsid w:val="6C022EBF"/>
    <w:rsid w:val="6CDB0B8A"/>
    <w:rsid w:val="6DEA65E3"/>
    <w:rsid w:val="6E2B2829"/>
    <w:rsid w:val="6E9C6F8F"/>
    <w:rsid w:val="6ED46055"/>
    <w:rsid w:val="6F4FD132"/>
    <w:rsid w:val="70A221ED"/>
    <w:rsid w:val="70E71420"/>
    <w:rsid w:val="711C4C29"/>
    <w:rsid w:val="718D7C2E"/>
    <w:rsid w:val="71D96859"/>
    <w:rsid w:val="71E47A7A"/>
    <w:rsid w:val="72B41AB4"/>
    <w:rsid w:val="735812E0"/>
    <w:rsid w:val="73663A61"/>
    <w:rsid w:val="737FF990"/>
    <w:rsid w:val="74A900EC"/>
    <w:rsid w:val="750F3E1D"/>
    <w:rsid w:val="75253B5A"/>
    <w:rsid w:val="75450A73"/>
    <w:rsid w:val="75ADCA38"/>
    <w:rsid w:val="763DC673"/>
    <w:rsid w:val="76606C42"/>
    <w:rsid w:val="7665694D"/>
    <w:rsid w:val="768A3309"/>
    <w:rsid w:val="777D0EC9"/>
    <w:rsid w:val="77A9E0BB"/>
    <w:rsid w:val="77E67085"/>
    <w:rsid w:val="77FF4959"/>
    <w:rsid w:val="79335031"/>
    <w:rsid w:val="79DD4CC7"/>
    <w:rsid w:val="7ACF5207"/>
    <w:rsid w:val="7B1D7E5A"/>
    <w:rsid w:val="7B606EEA"/>
    <w:rsid w:val="7B864C2E"/>
    <w:rsid w:val="7BA342E6"/>
    <w:rsid w:val="7CF94499"/>
    <w:rsid w:val="7D6F20B8"/>
    <w:rsid w:val="7D822BDD"/>
    <w:rsid w:val="7DF3318D"/>
    <w:rsid w:val="7ED72E8E"/>
    <w:rsid w:val="7EF19D54"/>
    <w:rsid w:val="7EFC0B65"/>
    <w:rsid w:val="7EFD581F"/>
    <w:rsid w:val="7F7166CB"/>
    <w:rsid w:val="7FA65EE1"/>
    <w:rsid w:val="7FCF7014"/>
    <w:rsid w:val="7FE93E1C"/>
    <w:rsid w:val="7FF71F64"/>
    <w:rsid w:val="BBDE3BD4"/>
    <w:rsid w:val="BFBA40B9"/>
    <w:rsid w:val="D6FE61D6"/>
    <w:rsid w:val="DB65E821"/>
    <w:rsid w:val="E75FBCC9"/>
    <w:rsid w:val="E7B6ED0D"/>
    <w:rsid w:val="EEFF8F0C"/>
    <w:rsid w:val="F7C7A417"/>
    <w:rsid w:val="F8373B67"/>
    <w:rsid w:val="FBF9706B"/>
    <w:rsid w:val="FBFE9C68"/>
    <w:rsid w:val="FFD9D930"/>
    <w:rsid w:val="FFDB1D59"/>
    <w:rsid w:val="FFFF5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200" w:beforeLines="200" w:beforeAutospacing="0" w:after="100" w:afterLines="100" w:afterAutospacing="0" w:line="600" w:lineRule="exact"/>
      <w:jc w:val="center"/>
      <w:outlineLvl w:val="0"/>
    </w:pPr>
    <w:rPr>
      <w:rFonts w:ascii="Calibri" w:hAnsi="Calibri" w:eastAsia="方正小标宋简体" w:cs="Times New Roman"/>
      <w:kern w:val="44"/>
      <w:sz w:val="44"/>
    </w:rPr>
  </w:style>
  <w:style w:type="paragraph" w:styleId="3">
    <w:name w:val="heading 2"/>
    <w:basedOn w:val="1"/>
    <w:next w:val="1"/>
    <w:autoRedefine/>
    <w:unhideWhenUsed/>
    <w:qFormat/>
    <w:uiPriority w:val="0"/>
    <w:pPr>
      <w:spacing w:before="100" w:beforeAutospacing="1" w:after="100" w:afterAutospacing="1"/>
      <w:jc w:val="left"/>
      <w:outlineLvl w:val="1"/>
    </w:pPr>
    <w:rPr>
      <w:rFonts w:hint="eastAsia" w:ascii="宋体" w:hAnsi="宋体" w:eastAsia="宋体" w:cs="Times New Roman"/>
      <w:b/>
      <w:kern w:val="0"/>
      <w:sz w:val="36"/>
      <w:szCs w:val="36"/>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Indent"/>
    <w:basedOn w:val="1"/>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10">
    <w:name w:val="Title"/>
    <w:basedOn w:val="1"/>
    <w:next w:val="1"/>
    <w:autoRedefine/>
    <w:qFormat/>
    <w:uiPriority w:val="0"/>
    <w:pPr>
      <w:spacing w:before="240" w:after="60"/>
      <w:jc w:val="center"/>
      <w:outlineLvl w:val="0"/>
    </w:pPr>
    <w:rPr>
      <w:rFonts w:asciiTheme="majorHAnsi" w:hAnsiTheme="majorHAnsi" w:eastAsiaTheme="majorEastAsia" w:cstheme="majorBidi"/>
      <w:b/>
      <w:bCs/>
      <w:sz w:val="32"/>
      <w:szCs w:val="32"/>
    </w:rPr>
  </w:style>
  <w:style w:type="paragraph" w:styleId="11">
    <w:name w:val="Body Text First Indent 2"/>
    <w:basedOn w:val="7"/>
    <w:next w:val="1"/>
    <w:semiHidden/>
    <w:unhideWhenUsed/>
    <w:qFormat/>
    <w:uiPriority w:val="99"/>
    <w:pPr>
      <w:ind w:firstLine="420" w:firstLineChars="200"/>
    </w:pPr>
  </w:style>
  <w:style w:type="character" w:styleId="14">
    <w:name w:val="Strong"/>
    <w:basedOn w:val="13"/>
    <w:autoRedefine/>
    <w:qFormat/>
    <w:uiPriority w:val="0"/>
    <w:rPr>
      <w:b/>
      <w:bCs/>
    </w:rPr>
  </w:style>
  <w:style w:type="character" w:styleId="15">
    <w:name w:val="HTML Code"/>
    <w:basedOn w:val="13"/>
    <w:qFormat/>
    <w:uiPriority w:val="0"/>
    <w:rPr>
      <w:rFonts w:ascii="Courier New" w:hAnsi="Courier New"/>
      <w:sz w:val="20"/>
    </w:rPr>
  </w:style>
  <w:style w:type="paragraph" w:customStyle="1" w:styleId="16">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8">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character" w:customStyle="1" w:styleId="19">
    <w:name w:val="bjh-p"/>
    <w:basedOn w:val="13"/>
    <w:qFormat/>
    <w:uiPriority w:val="0"/>
  </w:style>
  <w:style w:type="paragraph" w:customStyle="1" w:styleId="20">
    <w:name w:val="标准文件_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1">
    <w:name w:val="三级条标题"/>
    <w:basedOn w:val="1"/>
    <w:next w:val="16"/>
    <w:autoRedefine/>
    <w:qFormat/>
    <w:uiPriority w:val="0"/>
    <w:pPr>
      <w:widowControl/>
      <w:adjustRightInd/>
      <w:spacing w:beforeLines="50" w:afterLines="50" w:line="240" w:lineRule="auto"/>
      <w:jc w:val="left"/>
      <w:outlineLvl w:val="4"/>
    </w:pPr>
    <w:rPr>
      <w:rFonts w:ascii="黑体" w:hAnsi="Times New Roman" w:eastAsia="黑体"/>
      <w:kern w:val="0"/>
    </w:rPr>
  </w:style>
  <w:style w:type="character" w:customStyle="1" w:styleId="22">
    <w:name w:val="font31"/>
    <w:basedOn w:val="13"/>
    <w:qFormat/>
    <w:uiPriority w:val="0"/>
    <w:rPr>
      <w:rFonts w:ascii="Calibri" w:hAnsi="Calibri" w:cs="Calibri"/>
      <w:color w:val="000000"/>
      <w:sz w:val="24"/>
      <w:szCs w:val="24"/>
      <w:u w:val="none"/>
    </w:rPr>
  </w:style>
  <w:style w:type="character" w:customStyle="1" w:styleId="23">
    <w:name w:val="font2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8666</Words>
  <Characters>9996</Characters>
  <Lines>0</Lines>
  <Paragraphs>0</Paragraphs>
  <TotalTime>30</TotalTime>
  <ScaleCrop>false</ScaleCrop>
  <LinksUpToDate>false</LinksUpToDate>
  <CharactersWithSpaces>10049</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2023-12-31T09:47:00Z</dcterms:created>
  <dc:creator>张建光</dc:creator>
  <cp:lastModifiedBy>走走——婷婷(๑• . •๑)享受生活</cp:lastModifiedBy>
  <cp:lastPrinted>2024-01-06T11:59:00Z</cp:lastPrinted>
  <dcterms:modified xsi:type="dcterms:W3CDTF">2026-01-16T13:19:29Z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855A21D995A6416B902E201AFA835214_13</vt:lpwstr>
  </property>
  <property fmtid="{D5CDD505-2E9C-101B-9397-08002B2CF9AE}" pid="4" name="KSOTemplateDocerSaveRecord">
    <vt:lpwstr>eyJoZGlkIjoiMzhiMzZlYWI0OGIwNjU4ZDFkNGFjN2IyYmRhM2ZiYWIiLCJ1c2VySWQiOiI1ODY5ODAxMTQifQ==</vt:lpwstr>
  </property>
</Properties>
</file>